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79" w:rsidRDefault="007D1979" w:rsidP="00254706">
      <w:pPr>
        <w:tabs>
          <w:tab w:val="left" w:pos="720"/>
        </w:tabs>
        <w:spacing w:line="240" w:lineRule="auto"/>
        <w:jc w:val="center"/>
      </w:pPr>
      <w:r>
        <w:rPr>
          <w:noProof/>
        </w:rPr>
        <w:drawing>
          <wp:inline distT="0" distB="0" distL="0" distR="0">
            <wp:extent cx="3505200" cy="752251"/>
            <wp:effectExtent l="19050" t="0" r="0" b="0"/>
            <wp:docPr id="1" name="Picture 0" descr="Laboratory_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oratory_Gray.jpg"/>
                    <pic:cNvPicPr/>
                  </pic:nvPicPr>
                  <pic:blipFill>
                    <a:blip r:embed="rId8" cstate="print"/>
                    <a:stretch>
                      <a:fillRect/>
                    </a:stretch>
                  </pic:blipFill>
                  <pic:spPr>
                    <a:xfrm>
                      <a:off x="0" y="0"/>
                      <a:ext cx="3516471" cy="754670"/>
                    </a:xfrm>
                    <a:prstGeom prst="rect">
                      <a:avLst/>
                    </a:prstGeom>
                  </pic:spPr>
                </pic:pic>
              </a:graphicData>
            </a:graphic>
          </wp:inline>
        </w:drawing>
      </w:r>
    </w:p>
    <w:p w:rsidR="003D3748" w:rsidRDefault="003D3748" w:rsidP="008D65C5">
      <w:pPr>
        <w:jc w:val="center"/>
      </w:pPr>
    </w:p>
    <w:p w:rsidR="00606570" w:rsidRDefault="00606570" w:rsidP="008D65C5">
      <w:pPr>
        <w:jc w:val="center"/>
      </w:pPr>
    </w:p>
    <w:p w:rsidR="00144E60" w:rsidRDefault="00144E60" w:rsidP="003D3748">
      <w:pPr>
        <w:spacing w:line="240" w:lineRule="auto"/>
        <w:jc w:val="center"/>
        <w:rPr>
          <w:b/>
          <w:sz w:val="24"/>
          <w:szCs w:val="24"/>
        </w:rPr>
      </w:pPr>
      <w:r w:rsidRPr="00606CCD">
        <w:rPr>
          <w:b/>
          <w:sz w:val="24"/>
          <w:szCs w:val="24"/>
        </w:rPr>
        <w:t>ANNUAL NOTICE TO PHYSICIANS</w:t>
      </w:r>
      <w:r w:rsidR="00A76234">
        <w:rPr>
          <w:b/>
          <w:sz w:val="24"/>
          <w:szCs w:val="24"/>
        </w:rPr>
        <w:t xml:space="preserve"> 2019</w:t>
      </w:r>
    </w:p>
    <w:p w:rsidR="00A76234" w:rsidRPr="00606CCD" w:rsidRDefault="00A76234" w:rsidP="003D3748">
      <w:pPr>
        <w:spacing w:line="240" w:lineRule="auto"/>
        <w:jc w:val="center"/>
        <w:rPr>
          <w:b/>
          <w:sz w:val="24"/>
          <w:szCs w:val="24"/>
        </w:rPr>
      </w:pPr>
    </w:p>
    <w:p w:rsidR="008E79E0" w:rsidRDefault="00F609DF" w:rsidP="00E42938">
      <w:pPr>
        <w:spacing w:line="240" w:lineRule="auto"/>
      </w:pPr>
      <w:r>
        <w:t xml:space="preserve">CaroMont Health Laboratory is providing this annual notice in accordance with recommendations made by the </w:t>
      </w:r>
      <w:r w:rsidR="009C39B6">
        <w:t xml:space="preserve">Office of Inspector General </w:t>
      </w:r>
      <w:r w:rsidR="00747106">
        <w:t xml:space="preserve"> (</w:t>
      </w:r>
      <w:r w:rsidR="009C39B6">
        <w:t>OIG) of the Departme</w:t>
      </w:r>
      <w:r>
        <w:t>nt of Health and Human Services, to provide physicians and non-physician providers with notice of, and education about laboratory compliance</w:t>
      </w:r>
      <w:r w:rsidR="00606570">
        <w:t>.</w:t>
      </w:r>
      <w:r>
        <w:t xml:space="preserve"> </w:t>
      </w:r>
    </w:p>
    <w:p w:rsidR="00606570" w:rsidRPr="00606570" w:rsidRDefault="00606570" w:rsidP="00E42938">
      <w:pPr>
        <w:spacing w:line="240" w:lineRule="auto"/>
        <w:rPr>
          <w:strike/>
          <w:sz w:val="16"/>
          <w:szCs w:val="16"/>
        </w:rPr>
      </w:pPr>
    </w:p>
    <w:p w:rsidR="00144E60" w:rsidRDefault="00F609DF" w:rsidP="00E42938">
      <w:pPr>
        <w:spacing w:line="240" w:lineRule="auto"/>
      </w:pPr>
      <w:r>
        <w:t>This notice highlight</w:t>
      </w:r>
      <w:r w:rsidR="008E79E0">
        <w:t>s</w:t>
      </w:r>
      <w:r>
        <w:t xml:space="preserve"> areas of regulatory focus and concern</w:t>
      </w:r>
      <w:r w:rsidR="008E79E0">
        <w:t>,</w:t>
      </w:r>
      <w:r>
        <w:t xml:space="preserve"> and is intended to</w:t>
      </w:r>
      <w:r w:rsidR="008E79E0">
        <w:t xml:space="preserve"> help both the physician client and the laboratory comply with these regulations and mitigate the risks for all parties.  </w:t>
      </w:r>
      <w:r>
        <w:t xml:space="preserve"> </w:t>
      </w:r>
    </w:p>
    <w:p w:rsidR="008E79E0" w:rsidRPr="0037100D" w:rsidRDefault="008E79E0" w:rsidP="00E42938">
      <w:pPr>
        <w:spacing w:line="240" w:lineRule="auto"/>
        <w:rPr>
          <w:sz w:val="16"/>
          <w:szCs w:val="16"/>
        </w:rPr>
      </w:pPr>
    </w:p>
    <w:p w:rsidR="008E79E0" w:rsidRPr="00AB1FA1" w:rsidRDefault="008E79E0" w:rsidP="00E42938">
      <w:pPr>
        <w:spacing w:line="240" w:lineRule="auto"/>
      </w:pPr>
      <w:r>
        <w:t xml:space="preserve">Please review this summary of applicable Medicare regulations, billing rules, and compliance guidelines related to laboratory services.  If you have questions about the content of this notice, we encourage you to contact us for more information.  </w:t>
      </w:r>
    </w:p>
    <w:p w:rsidR="00144E60" w:rsidRPr="00AB1FA1" w:rsidRDefault="00144E60" w:rsidP="00E42938">
      <w:pPr>
        <w:spacing w:line="240" w:lineRule="auto"/>
        <w:jc w:val="center"/>
      </w:pPr>
    </w:p>
    <w:p w:rsidR="00E40EE9" w:rsidRPr="00DF498E" w:rsidRDefault="00E40EE9" w:rsidP="00254706">
      <w:pPr>
        <w:spacing w:line="240" w:lineRule="auto"/>
        <w:ind w:firstLine="720"/>
        <w:jc w:val="both"/>
        <w:rPr>
          <w:b/>
        </w:rPr>
      </w:pPr>
      <w:r w:rsidRPr="00DF498E">
        <w:rPr>
          <w:b/>
        </w:rPr>
        <w:t>Licensed Physicians and Non-Physician Practitioners (NPP)</w:t>
      </w:r>
      <w:r w:rsidR="001C3907">
        <w:rPr>
          <w:b/>
        </w:rPr>
        <w:t>:</w:t>
      </w:r>
    </w:p>
    <w:p w:rsidR="00E40EE9" w:rsidRPr="00AB1FA1" w:rsidRDefault="00E40EE9" w:rsidP="00254706">
      <w:pPr>
        <w:spacing w:line="240" w:lineRule="auto"/>
        <w:ind w:left="720"/>
        <w:jc w:val="both"/>
      </w:pPr>
      <w:r>
        <w:t>A laboratory may only bill Medicare and Medicaid for testing ordered by a licensed physician or other individuals authorized to order laboratory tests.  If your l</w:t>
      </w:r>
      <w:r w:rsidR="00175925">
        <w:t>i</w:t>
      </w:r>
      <w:r>
        <w:t>cense has been revoked or suspended, ple</w:t>
      </w:r>
      <w:r w:rsidR="00175925">
        <w:t xml:space="preserve">ase notify the laboratory immediately at 704-834-2881.  </w:t>
      </w:r>
      <w:r w:rsidR="00A76234">
        <w:t>Medicare requires individuals ordering laboratory services to be</w:t>
      </w:r>
      <w:r w:rsidR="00354E11">
        <w:t xml:space="preserve"> </w:t>
      </w:r>
      <w:r w:rsidR="00A76234">
        <w:t xml:space="preserve">registered in the Centers for Medicare and Medicaid Services Provider Enrollment Chain and Ownership System (PECOS).  Additional information on PECOS and how to enroll in the system may be viewed at:  </w:t>
      </w:r>
      <w:r w:rsidR="00A76234" w:rsidRPr="00701917">
        <w:rPr>
          <w:color w:val="0000FF"/>
          <w:u w:val="single"/>
        </w:rPr>
        <w:t>https://pecos.cms.hhs.gov/pecos/login.do#headingLv1</w:t>
      </w:r>
    </w:p>
    <w:p w:rsidR="00E42938" w:rsidRDefault="00E42938" w:rsidP="00E42938">
      <w:pPr>
        <w:spacing w:line="240" w:lineRule="auto"/>
        <w:jc w:val="both"/>
      </w:pPr>
    </w:p>
    <w:p w:rsidR="001C3907" w:rsidRDefault="00F11DDA" w:rsidP="00254706">
      <w:pPr>
        <w:spacing w:line="240" w:lineRule="auto"/>
        <w:ind w:firstLine="720"/>
        <w:jc w:val="both"/>
        <w:rPr>
          <w:b/>
        </w:rPr>
      </w:pPr>
      <w:r w:rsidRPr="006D6823">
        <w:t xml:space="preserve"> </w:t>
      </w:r>
      <w:r w:rsidR="006D6823" w:rsidRPr="00701917">
        <w:rPr>
          <w:b/>
        </w:rPr>
        <w:t>Medicare will only pay for medically necessary tests</w:t>
      </w:r>
      <w:r w:rsidR="001C3907">
        <w:rPr>
          <w:b/>
        </w:rPr>
        <w:t>:</w:t>
      </w:r>
    </w:p>
    <w:p w:rsidR="00E42938" w:rsidRDefault="00F11DDA" w:rsidP="00254706">
      <w:pPr>
        <w:spacing w:line="240" w:lineRule="auto"/>
        <w:ind w:left="720"/>
        <w:jc w:val="both"/>
      </w:pPr>
      <w:r>
        <w:t>The OIG has advised laboratories to remind physician</w:t>
      </w:r>
      <w:r w:rsidR="00DC2786">
        <w:t xml:space="preserve">s (or other individuals authorized by law to order tests) to ensure that when ordering tests for which Medicare reimbursement will be sought, they should only order tests that are medically necessary for the diagnosis or treatment of a patient.  </w:t>
      </w:r>
      <w:r>
        <w:t xml:space="preserve"> </w:t>
      </w:r>
      <w:r w:rsidR="001B330C">
        <w:t>Section 1862(a)(1)(A) of the Medicare law states,  “no payment may be made under Part A or Part B for any expenses incurred for items or services which are not reasonable and necessary for the diagnosis or treatment of an illness or injury or to improve the functioning of a malformed body member”</w:t>
      </w:r>
      <w:r w:rsidR="008C0D36">
        <w:t>.</w:t>
      </w:r>
    </w:p>
    <w:p w:rsidR="00606570" w:rsidRDefault="00606570" w:rsidP="00254706">
      <w:pPr>
        <w:spacing w:line="240" w:lineRule="auto"/>
        <w:ind w:left="720"/>
        <w:jc w:val="both"/>
      </w:pPr>
    </w:p>
    <w:p w:rsidR="00DC2786" w:rsidRDefault="00DC2786" w:rsidP="00254706">
      <w:pPr>
        <w:spacing w:line="240" w:lineRule="auto"/>
        <w:ind w:left="720"/>
        <w:jc w:val="both"/>
      </w:pPr>
      <w:r>
        <w:t xml:space="preserve">Accordingly, Medicare may deny payment for a test that you believe is appropriate, but which does not meet the Medicare coverage criteria (i.e. a test done for screening purposes or part of a routine physical examination does not meet the coverage criteria) or </w:t>
      </w:r>
      <w:r w:rsidR="006D6823">
        <w:t>where</w:t>
      </w:r>
      <w:r>
        <w:t xml:space="preserve"> documentation in the patient record </w:t>
      </w:r>
      <w:r w:rsidR="006D6823">
        <w:t xml:space="preserve">(including the patient record you maintain) does not support a finding that the test was reasonable and necessary, for a given patient.  </w:t>
      </w:r>
    </w:p>
    <w:p w:rsidR="00701917" w:rsidRDefault="00701917" w:rsidP="00701917">
      <w:pPr>
        <w:tabs>
          <w:tab w:val="left" w:pos="5220"/>
        </w:tabs>
        <w:spacing w:line="240" w:lineRule="auto"/>
        <w:jc w:val="both"/>
      </w:pPr>
    </w:p>
    <w:p w:rsidR="00D73A1E" w:rsidRDefault="00254706" w:rsidP="00701917">
      <w:pPr>
        <w:tabs>
          <w:tab w:val="left" w:pos="5220"/>
        </w:tabs>
        <w:spacing w:line="240" w:lineRule="auto"/>
        <w:jc w:val="both"/>
      </w:pPr>
      <w:r>
        <w:rPr>
          <w:b/>
        </w:rPr>
        <w:t xml:space="preserve">              </w:t>
      </w:r>
      <w:r w:rsidR="00D73A1E" w:rsidRPr="00D36495">
        <w:rPr>
          <w:b/>
        </w:rPr>
        <w:t>Diagnosis Code Selection &amp; Documentation:</w:t>
      </w:r>
      <w:r w:rsidR="00D73A1E">
        <w:t xml:space="preserve">  </w:t>
      </w:r>
    </w:p>
    <w:p w:rsidR="00491846" w:rsidRDefault="00491846" w:rsidP="00254706">
      <w:pPr>
        <w:spacing w:line="240" w:lineRule="auto"/>
        <w:ind w:left="720"/>
        <w:jc w:val="both"/>
      </w:pPr>
      <w:r>
        <w:t xml:space="preserve">Documentation in the </w:t>
      </w:r>
      <w:r w:rsidR="00A10316">
        <w:t>patient’s</w:t>
      </w:r>
      <w:r>
        <w:t xml:space="preserve"> medical record must support the medical necessity of the test(s) </w:t>
      </w:r>
      <w:r w:rsidR="00D73A1E">
        <w:t>order</w:t>
      </w:r>
      <w:r>
        <w:t xml:space="preserve">ed.  </w:t>
      </w:r>
      <w:r w:rsidR="00A10316">
        <w:t>We ask that you provide</w:t>
      </w:r>
      <w:r w:rsidR="002D1EA1">
        <w:t xml:space="preserve"> CaroMont</w:t>
      </w:r>
      <w:r w:rsidR="00A10316">
        <w:t xml:space="preserve"> laboratory with all relevant diagnostic information requested with the electronic order or</w:t>
      </w:r>
      <w:r w:rsidR="009921B3">
        <w:t xml:space="preserve"> paper</w:t>
      </w:r>
      <w:r w:rsidR="00A10316">
        <w:t xml:space="preserve"> requisition.  </w:t>
      </w:r>
      <w:r w:rsidR="00D73A1E">
        <w:t xml:space="preserve">ICD-10 codes must be provided for each test and service ordered for billing and documentation purposes. When selecting an ICD-10 code, always select the code most specific to the patient’s condition and reason for the test.   </w:t>
      </w:r>
    </w:p>
    <w:p w:rsidR="00491846" w:rsidRDefault="00491846" w:rsidP="00DC2786">
      <w:pPr>
        <w:spacing w:line="240" w:lineRule="auto"/>
        <w:ind w:left="720"/>
        <w:jc w:val="both"/>
      </w:pPr>
    </w:p>
    <w:p w:rsidR="001B330C" w:rsidRDefault="001B330C" w:rsidP="00254706">
      <w:pPr>
        <w:tabs>
          <w:tab w:val="left" w:pos="720"/>
        </w:tabs>
        <w:spacing w:line="240" w:lineRule="auto"/>
        <w:ind w:left="360"/>
        <w:jc w:val="both"/>
      </w:pPr>
    </w:p>
    <w:p w:rsidR="00606570" w:rsidRDefault="00606570" w:rsidP="00254706">
      <w:pPr>
        <w:tabs>
          <w:tab w:val="left" w:pos="720"/>
        </w:tabs>
        <w:spacing w:line="240" w:lineRule="auto"/>
        <w:ind w:left="360"/>
        <w:jc w:val="both"/>
      </w:pPr>
    </w:p>
    <w:p w:rsidR="001C3907" w:rsidRDefault="00931860" w:rsidP="00254706">
      <w:pPr>
        <w:spacing w:line="240" w:lineRule="auto"/>
        <w:ind w:firstLine="720"/>
        <w:jc w:val="both"/>
        <w:rPr>
          <w:b/>
        </w:rPr>
      </w:pPr>
      <w:r w:rsidRPr="00405E0A">
        <w:rPr>
          <w:b/>
        </w:rPr>
        <w:t>Ordering Panel or Profiles</w:t>
      </w:r>
      <w:r w:rsidR="001C3907">
        <w:rPr>
          <w:b/>
        </w:rPr>
        <w:t>:</w:t>
      </w:r>
    </w:p>
    <w:p w:rsidR="001B330C" w:rsidRDefault="001B330C" w:rsidP="00254706">
      <w:pPr>
        <w:spacing w:line="240" w:lineRule="auto"/>
        <w:ind w:left="720"/>
        <w:jc w:val="both"/>
      </w:pPr>
      <w:r>
        <w:t xml:space="preserve">Physicians and authorized providers should only order AMA defined Organ / Disease Panels when </w:t>
      </w:r>
      <w:r w:rsidRPr="00405E0A">
        <w:rPr>
          <w:u w:val="single"/>
        </w:rPr>
        <w:t xml:space="preserve">all </w:t>
      </w:r>
      <w:r>
        <w:t>components are medically necessary.  In cases where only certain components are medically necessary, individual tests or a less inclusive panel should be ordered</w:t>
      </w:r>
      <w:r w:rsidR="00567739">
        <w:t>.</w:t>
      </w:r>
      <w:r>
        <w:t xml:space="preserve">  </w:t>
      </w:r>
    </w:p>
    <w:p w:rsidR="009F04B9" w:rsidRPr="00AB1FA1" w:rsidRDefault="009F04B9" w:rsidP="009F04B9">
      <w:pPr>
        <w:pStyle w:val="ListParagraph"/>
        <w:rPr>
          <w:sz w:val="16"/>
          <w:szCs w:val="16"/>
        </w:rPr>
      </w:pPr>
    </w:p>
    <w:p w:rsidR="001C3907" w:rsidRDefault="009F04B9" w:rsidP="00405E0A">
      <w:pPr>
        <w:spacing w:line="240" w:lineRule="auto"/>
        <w:jc w:val="both"/>
        <w:rPr>
          <w:b/>
        </w:rPr>
      </w:pPr>
      <w:r>
        <w:t xml:space="preserve"> </w:t>
      </w:r>
      <w:r w:rsidR="00254706">
        <w:tab/>
      </w:r>
      <w:r w:rsidR="00D36495" w:rsidRPr="00405E0A">
        <w:rPr>
          <w:b/>
        </w:rPr>
        <w:t>Screening</w:t>
      </w:r>
      <w:r w:rsidR="001C3907">
        <w:rPr>
          <w:b/>
        </w:rPr>
        <w:t>, Preventive, Routine</w:t>
      </w:r>
      <w:r w:rsidR="00D36495" w:rsidRPr="00405E0A">
        <w:rPr>
          <w:b/>
        </w:rPr>
        <w:t xml:space="preserve"> Test</w:t>
      </w:r>
      <w:r w:rsidR="001C3907">
        <w:rPr>
          <w:b/>
        </w:rPr>
        <w:t>ing:</w:t>
      </w:r>
    </w:p>
    <w:p w:rsidR="00D36495" w:rsidRPr="00405E0A" w:rsidRDefault="00D36495" w:rsidP="00254706">
      <w:pPr>
        <w:spacing w:line="240" w:lineRule="auto"/>
        <w:ind w:left="720" w:firstLine="45"/>
        <w:jc w:val="both"/>
        <w:rPr>
          <w:b/>
        </w:rPr>
      </w:pPr>
      <w:r>
        <w:t xml:space="preserve">Medicare does </w:t>
      </w:r>
      <w:r w:rsidR="001C3907">
        <w:t>NOT</w:t>
      </w:r>
      <w:r>
        <w:t xml:space="preserve"> cover routine screening laboratory tests, with the exception of a few specifically cited exceptions.  For specific coverage, frequency and diagnosis coding requirements for those covered screening</w:t>
      </w:r>
      <w:r w:rsidR="00C02521">
        <w:t xml:space="preserve"> </w:t>
      </w:r>
      <w:r w:rsidR="001C3907">
        <w:t>tests,</w:t>
      </w:r>
      <w:r w:rsidR="00606570">
        <w:t xml:space="preserve"> </w:t>
      </w:r>
      <w:r>
        <w:t xml:space="preserve">see the CMS Quick Reference Chart for Preventative Services at:   </w:t>
      </w:r>
      <w:hyperlink r:id="rId9" w:history="1">
        <w:r w:rsidRPr="00F346AD">
          <w:rPr>
            <w:rStyle w:val="Hyperlink"/>
          </w:rPr>
          <w:t>https://www.cms.gov/Medicare/Prevention/PrevntionGenInfo/medicare-preventive-services/MPS-QuickReferenceChart-1.html</w:t>
        </w:r>
      </w:hyperlink>
    </w:p>
    <w:p w:rsidR="00341D3E" w:rsidRPr="00AB1FA1" w:rsidRDefault="00341D3E" w:rsidP="009F04B9">
      <w:pPr>
        <w:pStyle w:val="ListParagraph"/>
        <w:spacing w:line="240" w:lineRule="auto"/>
        <w:ind w:left="1440"/>
        <w:jc w:val="both"/>
        <w:rPr>
          <w:sz w:val="16"/>
          <w:szCs w:val="16"/>
        </w:rPr>
      </w:pPr>
    </w:p>
    <w:p w:rsidR="009F04B9" w:rsidRPr="00AB1FA1" w:rsidRDefault="009F04B9" w:rsidP="009F04B9">
      <w:pPr>
        <w:pStyle w:val="ListParagraph"/>
        <w:spacing w:line="240" w:lineRule="auto"/>
        <w:ind w:left="1440"/>
        <w:jc w:val="both"/>
        <w:rPr>
          <w:sz w:val="16"/>
          <w:szCs w:val="16"/>
        </w:rPr>
      </w:pPr>
    </w:p>
    <w:p w:rsidR="009F04B9" w:rsidRPr="00AB1FA1" w:rsidRDefault="007B1522" w:rsidP="009F04B9">
      <w:pPr>
        <w:spacing w:line="240" w:lineRule="auto"/>
        <w:jc w:val="both"/>
        <w:rPr>
          <w:sz w:val="16"/>
          <w:szCs w:val="16"/>
        </w:rPr>
      </w:pPr>
      <w:r>
        <w:rPr>
          <w:sz w:val="16"/>
          <w:szCs w:val="16"/>
        </w:rPr>
        <w:t xml:space="preserve">               </w:t>
      </w:r>
    </w:p>
    <w:p w:rsidR="007B1522" w:rsidRPr="00405E0A" w:rsidRDefault="007B1522" w:rsidP="00254706">
      <w:pPr>
        <w:spacing w:line="240" w:lineRule="auto"/>
        <w:ind w:firstLine="720"/>
        <w:jc w:val="both"/>
        <w:rPr>
          <w:b/>
        </w:rPr>
      </w:pPr>
      <w:r w:rsidRPr="00405E0A">
        <w:rPr>
          <w:b/>
        </w:rPr>
        <w:t>Medicare Coverage Policies for Laboratory Testing</w:t>
      </w:r>
      <w:r w:rsidR="001C3907">
        <w:rPr>
          <w:b/>
        </w:rPr>
        <w:t>:</w:t>
      </w:r>
    </w:p>
    <w:p w:rsidR="007B1522" w:rsidRDefault="007B1522" w:rsidP="00254706">
      <w:pPr>
        <w:spacing w:line="240" w:lineRule="auto"/>
        <w:ind w:left="720"/>
        <w:jc w:val="both"/>
      </w:pPr>
      <w:r>
        <w:t xml:space="preserve">Medicare has established </w:t>
      </w:r>
      <w:r w:rsidR="00405E0A">
        <w:t xml:space="preserve">both </w:t>
      </w:r>
      <w:r>
        <w:t>nation</w:t>
      </w:r>
      <w:r w:rsidR="00405E0A">
        <w:t>al</w:t>
      </w:r>
      <w:r>
        <w:t xml:space="preserve"> and local medical review policies for specific laboratory tests.  These policies include a list of diagnosis codes indicating what clinical </w:t>
      </w:r>
      <w:r w:rsidR="00405E0A">
        <w:t>c</w:t>
      </w:r>
      <w:r>
        <w:t>ircumstance</w:t>
      </w:r>
      <w:r w:rsidR="00606570">
        <w:t xml:space="preserve"> </w:t>
      </w:r>
      <w:r>
        <w:t xml:space="preserve">justify the medical necessity of an individual test.  In addition, these policies contain information including specific non-covered diagnosis codes, coding guidelines, reason for denial and frequency limitations. </w:t>
      </w:r>
    </w:p>
    <w:p w:rsidR="007B1522" w:rsidRPr="007B1522" w:rsidRDefault="007B1522" w:rsidP="00D36495">
      <w:pPr>
        <w:pStyle w:val="ListParagraph"/>
        <w:spacing w:line="240" w:lineRule="auto"/>
        <w:jc w:val="both"/>
      </w:pPr>
    </w:p>
    <w:p w:rsidR="001C3907" w:rsidRDefault="00931860" w:rsidP="00254706">
      <w:pPr>
        <w:spacing w:line="240" w:lineRule="auto"/>
        <w:ind w:firstLine="720"/>
        <w:jc w:val="both"/>
        <w:rPr>
          <w:b/>
        </w:rPr>
      </w:pPr>
      <w:r w:rsidRPr="00405E0A">
        <w:rPr>
          <w:b/>
        </w:rPr>
        <w:t>National Coverage Decisions (NCD)</w:t>
      </w:r>
      <w:r w:rsidR="001C3907">
        <w:rPr>
          <w:b/>
        </w:rPr>
        <w:t>:</w:t>
      </w:r>
    </w:p>
    <w:p w:rsidR="00F609DF" w:rsidRDefault="0030285E" w:rsidP="00254706">
      <w:pPr>
        <w:spacing w:line="240" w:lineRule="auto"/>
        <w:ind w:left="720"/>
        <w:jc w:val="both"/>
      </w:pPr>
      <w:r>
        <w:t>C</w:t>
      </w:r>
      <w:r w:rsidR="007B63AD">
        <w:t xml:space="preserve">MS </w:t>
      </w:r>
      <w:r w:rsidR="00606CCD">
        <w:t xml:space="preserve">has developed and published </w:t>
      </w:r>
      <w:r w:rsidR="00606CCD" w:rsidRPr="00931860">
        <w:t>National Coverage Determination (NCD</w:t>
      </w:r>
      <w:r w:rsidR="00606CCD" w:rsidRPr="00405E0A">
        <w:rPr>
          <w:b/>
        </w:rPr>
        <w:t>)</w:t>
      </w:r>
      <w:r w:rsidR="00606CCD">
        <w:t>.  These guidelines give direction for medical necessity on selected laboratory tests</w:t>
      </w:r>
      <w:r w:rsidR="001410A8">
        <w:t>.</w:t>
      </w:r>
      <w:r w:rsidR="007B63AD">
        <w:t xml:space="preserve"> </w:t>
      </w:r>
      <w:r w:rsidR="001410A8">
        <w:t xml:space="preserve">  </w:t>
      </w:r>
      <w:r w:rsidR="007B63AD">
        <w:t xml:space="preserve"> </w:t>
      </w:r>
    </w:p>
    <w:p w:rsidR="0083006D" w:rsidRDefault="00606CCD" w:rsidP="0083006D">
      <w:pPr>
        <w:spacing w:line="240" w:lineRule="auto"/>
        <w:ind w:firstLine="720"/>
        <w:jc w:val="both"/>
      </w:pPr>
      <w:r w:rsidRPr="00931860">
        <w:t>View all laboratory</w:t>
      </w:r>
      <w:r w:rsidR="00F609DF">
        <w:t xml:space="preserve"> </w:t>
      </w:r>
      <w:r w:rsidRPr="00931860">
        <w:t>NCDs at:</w:t>
      </w:r>
    </w:p>
    <w:p w:rsidR="00405E0A" w:rsidRDefault="00E00DA5" w:rsidP="00254706">
      <w:pPr>
        <w:spacing w:line="240" w:lineRule="auto"/>
        <w:ind w:firstLine="720"/>
        <w:jc w:val="both"/>
        <w:rPr>
          <w:u w:val="single"/>
        </w:rPr>
      </w:pPr>
      <w:r w:rsidRPr="00931860">
        <w:t xml:space="preserve"> </w:t>
      </w:r>
      <w:hyperlink r:id="rId10" w:history="1">
        <w:r w:rsidR="00405E0A" w:rsidRPr="00113265">
          <w:rPr>
            <w:rStyle w:val="Hyperlink"/>
          </w:rPr>
          <w:t>http://www.cms.gov/medicare-coverage-database/indexes/ncd-alphabetical-index.aspx</w:t>
        </w:r>
      </w:hyperlink>
      <w:r w:rsidR="00405E0A" w:rsidRPr="00A80165">
        <w:rPr>
          <w:u w:val="single"/>
        </w:rPr>
        <w:t>?</w:t>
      </w:r>
    </w:p>
    <w:p w:rsidR="00A80165" w:rsidRPr="00931860" w:rsidRDefault="00A80165" w:rsidP="00405E0A">
      <w:pPr>
        <w:spacing w:line="240" w:lineRule="auto"/>
        <w:jc w:val="both"/>
      </w:pPr>
    </w:p>
    <w:p w:rsidR="00A80165" w:rsidRPr="00AB1FA1" w:rsidRDefault="00A80165" w:rsidP="00606CCD">
      <w:pPr>
        <w:spacing w:line="240" w:lineRule="auto"/>
        <w:ind w:left="720"/>
        <w:jc w:val="both"/>
        <w:rPr>
          <w:sz w:val="16"/>
          <w:szCs w:val="16"/>
          <w:u w:val="single"/>
        </w:rPr>
      </w:pPr>
    </w:p>
    <w:p w:rsidR="001C3907" w:rsidRDefault="00254706" w:rsidP="00405E0A">
      <w:pPr>
        <w:tabs>
          <w:tab w:val="left" w:pos="5220"/>
        </w:tabs>
        <w:spacing w:line="240" w:lineRule="auto"/>
        <w:jc w:val="both"/>
        <w:rPr>
          <w:b/>
        </w:rPr>
      </w:pPr>
      <w:r>
        <w:rPr>
          <w:b/>
        </w:rPr>
        <w:t xml:space="preserve">               </w:t>
      </w:r>
      <w:r w:rsidR="00931860" w:rsidRPr="00405E0A">
        <w:rPr>
          <w:b/>
        </w:rPr>
        <w:t>Local Coverage Determinations (LCD)</w:t>
      </w:r>
    </w:p>
    <w:p w:rsidR="00031301" w:rsidRPr="00405E0A" w:rsidRDefault="00931860" w:rsidP="00254706">
      <w:pPr>
        <w:tabs>
          <w:tab w:val="left" w:pos="5220"/>
        </w:tabs>
        <w:spacing w:line="240" w:lineRule="auto"/>
        <w:ind w:left="720"/>
        <w:jc w:val="both"/>
        <w:rPr>
          <w:b/>
          <w:u w:val="single"/>
        </w:rPr>
      </w:pPr>
      <w:r>
        <w:t xml:space="preserve"> </w:t>
      </w:r>
      <w:r w:rsidR="000315B8">
        <w:t xml:space="preserve">CMS has authorized Medicare Contractor Palmetto GBA to develop </w:t>
      </w:r>
      <w:r w:rsidR="000315B8" w:rsidRPr="00931860">
        <w:t xml:space="preserve">Local Coverage Determinations for NC </w:t>
      </w:r>
      <w:r w:rsidR="00031301">
        <w:t xml:space="preserve">&amp; </w:t>
      </w:r>
      <w:r w:rsidR="000315B8" w:rsidRPr="00931860">
        <w:t>SC.</w:t>
      </w:r>
      <w:r w:rsidR="000315B8">
        <w:t xml:space="preserve">  These guidelines may supplement or be in addition to the National Coverage Determinations</w:t>
      </w:r>
      <w:r w:rsidR="0030285E">
        <w:t>,</w:t>
      </w:r>
      <w:r w:rsidR="000315B8">
        <w:t xml:space="preserve"> and give direction for medical necessity on selected laboratory tests.  Local Coverage </w:t>
      </w:r>
      <w:r w:rsidR="00E00DA5">
        <w:t>Determinations may not contradict National Coverage Determinations</w:t>
      </w:r>
      <w:r w:rsidR="001410A8">
        <w:t>.</w:t>
      </w:r>
      <w:r w:rsidR="00E00DA5">
        <w:t xml:space="preserve">  </w:t>
      </w:r>
      <w:r w:rsidR="007B63AD">
        <w:t xml:space="preserve">  </w:t>
      </w:r>
    </w:p>
    <w:p w:rsidR="00031301" w:rsidRPr="00730AD0" w:rsidRDefault="00254706" w:rsidP="00354A39">
      <w:pPr>
        <w:tabs>
          <w:tab w:val="left" w:pos="5220"/>
        </w:tabs>
        <w:spacing w:line="240" w:lineRule="auto"/>
        <w:jc w:val="both"/>
        <w:rPr>
          <w:rFonts w:eastAsia="Times New Roman" w:cs="Arial"/>
          <w:color w:val="1155CC"/>
          <w:sz w:val="24"/>
          <w:szCs w:val="24"/>
          <w:u w:val="single"/>
        </w:rPr>
      </w:pPr>
      <w:r>
        <w:t xml:space="preserve">               </w:t>
      </w:r>
      <w:r w:rsidR="00E00DA5" w:rsidRPr="00931860">
        <w:t>View</w:t>
      </w:r>
      <w:r w:rsidR="00A80165" w:rsidRPr="00931860">
        <w:t xml:space="preserve"> </w:t>
      </w:r>
      <w:r w:rsidR="00031301">
        <w:t xml:space="preserve">NC &amp; SC </w:t>
      </w:r>
      <w:r w:rsidR="00E00DA5" w:rsidRPr="00931860">
        <w:t>LCDs at :</w:t>
      </w:r>
      <w:r w:rsidR="00925DCF">
        <w:t xml:space="preserve"> </w:t>
      </w:r>
      <w:r w:rsidR="00CF0B2D">
        <w:t xml:space="preserve"> </w:t>
      </w:r>
      <w:hyperlink r:id="rId11" w:anchor="aFinal" w:tgtFrame="_blank" w:history="1">
        <w:r w:rsidR="00CF0B2D" w:rsidRPr="00A403D0">
          <w:rPr>
            <w:rFonts w:eastAsia="Times New Roman" w:cs="Arial"/>
            <w:color w:val="1155CC"/>
            <w:u w:val="single"/>
          </w:rPr>
          <w:t>https://www.cms.gov/medicare-coverage-database/indexes/lcd-</w:t>
        </w:r>
        <w:r w:rsidR="00730AD0" w:rsidRPr="00A403D0">
          <w:rPr>
            <w:rFonts w:eastAsia="Times New Roman" w:cs="Arial"/>
            <w:color w:val="1155CC"/>
            <w:u w:val="single"/>
          </w:rPr>
          <w:t xml:space="preserve"> </w:t>
        </w:r>
        <w:r w:rsidR="00CF0B2D" w:rsidRPr="00A403D0">
          <w:rPr>
            <w:rFonts w:eastAsia="Times New Roman" w:cs="Arial"/>
            <w:color w:val="1155CC"/>
            <w:u w:val="single"/>
          </w:rPr>
          <w:t>list.aspx?Cntrctr=374&amp;ContrVer=1&amp;</w:t>
        </w:r>
        <w:r w:rsidR="00CF0B2D" w:rsidRPr="00A403D0">
          <w:rPr>
            <w:rFonts w:eastAsia="Times New Roman" w:cs="Arial"/>
            <w:color w:val="1155CC"/>
            <w:u w:val="single"/>
          </w:rPr>
          <w:t>C</w:t>
        </w:r>
        <w:r w:rsidR="00CF0B2D" w:rsidRPr="00A403D0">
          <w:rPr>
            <w:rFonts w:eastAsia="Times New Roman" w:cs="Arial"/>
            <w:color w:val="1155CC"/>
            <w:u w:val="single"/>
          </w:rPr>
          <w:t>ntrctrSelected=374*1&amp;LCntrctr=374*1%7c375*1%7c376*1%7c377*1&amp;DocType=2&amp;b</w:t>
        </w:r>
        <w:r w:rsidR="00CF0B2D" w:rsidRPr="00A403D0">
          <w:rPr>
            <w:rFonts w:eastAsia="Times New Roman" w:cs="Arial"/>
            <w:color w:val="1155CC"/>
            <w:u w:val="single"/>
          </w:rPr>
          <w:t>c</w:t>
        </w:r>
        <w:r w:rsidR="00CF0B2D" w:rsidRPr="00A403D0">
          <w:rPr>
            <w:rFonts w:eastAsia="Times New Roman" w:cs="Arial"/>
            <w:color w:val="1155CC"/>
            <w:u w:val="single"/>
          </w:rPr>
          <w:t>=</w:t>
        </w:r>
        <w:r w:rsidR="00CF0B2D" w:rsidRPr="00A403D0">
          <w:rPr>
            <w:rFonts w:eastAsia="Times New Roman" w:cs="Arial"/>
            <w:color w:val="1155CC"/>
            <w:u w:val="single"/>
          </w:rPr>
          <w:t>AgAC</w:t>
        </w:r>
        <w:bookmarkStart w:id="0" w:name="_GoBack"/>
        <w:bookmarkEnd w:id="0"/>
        <w:r w:rsidR="00CF0B2D" w:rsidRPr="00A403D0">
          <w:rPr>
            <w:rFonts w:eastAsia="Times New Roman" w:cs="Arial"/>
            <w:color w:val="1155CC"/>
            <w:u w:val="single"/>
          </w:rPr>
          <w:t>A</w:t>
        </w:r>
        <w:r w:rsidR="00CF0B2D" w:rsidRPr="00A403D0">
          <w:rPr>
            <w:rFonts w:eastAsia="Times New Roman" w:cs="Arial"/>
            <w:color w:val="1155CC"/>
            <w:u w:val="single"/>
          </w:rPr>
          <w:t>AA</w:t>
        </w:r>
        <w:r w:rsidR="00CF0B2D" w:rsidRPr="00A403D0">
          <w:rPr>
            <w:rFonts w:eastAsia="Times New Roman" w:cs="Arial"/>
            <w:color w:val="1155CC"/>
            <w:u w:val="single"/>
          </w:rPr>
          <w:t>A</w:t>
        </w:r>
        <w:r w:rsidR="00CF0B2D" w:rsidRPr="00A403D0">
          <w:rPr>
            <w:rFonts w:eastAsia="Times New Roman" w:cs="Arial"/>
            <w:color w:val="1155CC"/>
            <w:u w:val="single"/>
          </w:rPr>
          <w:t>A</w:t>
        </w:r>
        <w:r w:rsidR="00CF0B2D" w:rsidRPr="00A403D0">
          <w:rPr>
            <w:rFonts w:eastAsia="Times New Roman" w:cs="Arial"/>
            <w:color w:val="1155CC"/>
            <w:u w:val="single"/>
          </w:rPr>
          <w:t>A</w:t>
        </w:r>
        <w:r w:rsidR="00CF0B2D" w:rsidRPr="00A403D0">
          <w:rPr>
            <w:rFonts w:eastAsia="Times New Roman" w:cs="Arial"/>
            <w:color w:val="1155CC"/>
            <w:u w:val="single"/>
          </w:rPr>
          <w:t>A</w:t>
        </w:r>
        <w:r w:rsidR="00CF0B2D" w:rsidRPr="00A403D0">
          <w:rPr>
            <w:rFonts w:eastAsia="Times New Roman" w:cs="Arial"/>
            <w:color w:val="1155CC"/>
            <w:u w:val="single"/>
          </w:rPr>
          <w:t>A&amp;#aFinal</w:t>
        </w:r>
      </w:hyperlink>
      <w:r w:rsidR="00CF0B2D">
        <w:t xml:space="preserve"> </w:t>
      </w:r>
    </w:p>
    <w:p w:rsidR="009D127F" w:rsidRPr="009D127F" w:rsidRDefault="009D127F" w:rsidP="00C75F87">
      <w:pPr>
        <w:pStyle w:val="ListParagraph"/>
        <w:tabs>
          <w:tab w:val="left" w:pos="5220"/>
        </w:tabs>
        <w:spacing w:line="240" w:lineRule="auto"/>
        <w:jc w:val="both"/>
        <w:rPr>
          <w:b/>
          <w:sz w:val="16"/>
          <w:szCs w:val="16"/>
          <w:u w:val="single"/>
        </w:rPr>
      </w:pPr>
    </w:p>
    <w:p w:rsidR="001C3907" w:rsidRDefault="0083006D" w:rsidP="00354A39">
      <w:pPr>
        <w:tabs>
          <w:tab w:val="left" w:pos="5220"/>
        </w:tabs>
        <w:spacing w:line="240" w:lineRule="auto"/>
        <w:jc w:val="both"/>
        <w:rPr>
          <w:b/>
        </w:rPr>
      </w:pPr>
      <w:r>
        <w:rPr>
          <w:b/>
        </w:rPr>
        <w:t xml:space="preserve">              </w:t>
      </w:r>
      <w:r w:rsidR="00C8120A" w:rsidRPr="00354A39">
        <w:rPr>
          <w:b/>
        </w:rPr>
        <w:t>Clinical Consultants</w:t>
      </w:r>
      <w:r w:rsidR="00254706">
        <w:rPr>
          <w:b/>
        </w:rPr>
        <w:t>:</w:t>
      </w:r>
    </w:p>
    <w:p w:rsidR="00AB1FA1" w:rsidRDefault="001B7BAE" w:rsidP="0083006D">
      <w:pPr>
        <w:tabs>
          <w:tab w:val="left" w:pos="5220"/>
        </w:tabs>
        <w:spacing w:line="240" w:lineRule="auto"/>
        <w:ind w:left="720"/>
        <w:jc w:val="both"/>
      </w:pPr>
      <w:r>
        <w:t>CaroMont</w:t>
      </w:r>
      <w:r w:rsidR="00C8120A">
        <w:t xml:space="preserve"> </w:t>
      </w:r>
      <w:r>
        <w:t>Laboratory has clinical consultants available to answer questions regarding appropriate test selection and ordering.  For a clinical consultation with a pathologist or technical manager, please contact Laboratory Customer Service at 704-834-2881</w:t>
      </w:r>
      <w:r w:rsidR="00567739">
        <w:t>.</w:t>
      </w:r>
    </w:p>
    <w:p w:rsidR="00045D23" w:rsidRDefault="00045D23" w:rsidP="00045D23">
      <w:pPr>
        <w:pStyle w:val="ListParagraph"/>
        <w:rPr>
          <w:sz w:val="16"/>
          <w:szCs w:val="16"/>
        </w:rPr>
      </w:pPr>
    </w:p>
    <w:p w:rsidR="001C3907" w:rsidRDefault="007B1522" w:rsidP="0083006D">
      <w:pPr>
        <w:spacing w:line="240" w:lineRule="auto"/>
        <w:ind w:firstLine="720"/>
        <w:jc w:val="both"/>
        <w:rPr>
          <w:b/>
        </w:rPr>
      </w:pPr>
      <w:r w:rsidRPr="00931860">
        <w:rPr>
          <w:b/>
        </w:rPr>
        <w:t>Penalties</w:t>
      </w:r>
      <w:r w:rsidR="00254706">
        <w:rPr>
          <w:b/>
        </w:rPr>
        <w:t>:</w:t>
      </w:r>
    </w:p>
    <w:p w:rsidR="007B1522" w:rsidRDefault="007B1522" w:rsidP="0083006D">
      <w:pPr>
        <w:spacing w:line="240" w:lineRule="auto"/>
        <w:ind w:left="720"/>
        <w:jc w:val="both"/>
      </w:pPr>
      <w:r>
        <w:t>As a Medicare participating provider, CaroMont Laboratory has a responsibility to make good faith efforts to ensure that all tests requested are performed and billed in a manner consistent with all federal and state laws and regulations.  The</w:t>
      </w:r>
      <w:r w:rsidR="008832CE">
        <w:t xml:space="preserve"> </w:t>
      </w:r>
      <w:r>
        <w:t xml:space="preserve">OIG takes the position that physicians or other individuals authorized to order laboratory tests, who knowingly cause a false claims to be submitted to any federally funded program, may be subject to sanctions or remedies available under civil, criminal, and administrative law, such as the False Claim Act.  </w:t>
      </w:r>
    </w:p>
    <w:p w:rsidR="007B1522" w:rsidRDefault="007B1522" w:rsidP="00045D23">
      <w:pPr>
        <w:pStyle w:val="ListParagraph"/>
        <w:rPr>
          <w:sz w:val="16"/>
          <w:szCs w:val="16"/>
        </w:rPr>
      </w:pPr>
    </w:p>
    <w:p w:rsidR="001C3907" w:rsidRPr="00312E35" w:rsidRDefault="001C3907" w:rsidP="00045D23">
      <w:pPr>
        <w:pStyle w:val="ListParagraph"/>
        <w:rPr>
          <w:sz w:val="16"/>
          <w:szCs w:val="16"/>
        </w:rPr>
      </w:pPr>
    </w:p>
    <w:p w:rsidR="001C3907" w:rsidRDefault="0083006D" w:rsidP="0083006D">
      <w:pPr>
        <w:tabs>
          <w:tab w:val="left" w:pos="720"/>
          <w:tab w:val="left" w:pos="5220"/>
        </w:tabs>
        <w:spacing w:line="240" w:lineRule="auto"/>
        <w:jc w:val="both"/>
        <w:rPr>
          <w:b/>
        </w:rPr>
      </w:pPr>
      <w:r>
        <w:rPr>
          <w:b/>
        </w:rPr>
        <w:t xml:space="preserve">               </w:t>
      </w:r>
      <w:r w:rsidR="008D5D60" w:rsidRPr="00354A39">
        <w:rPr>
          <w:b/>
        </w:rPr>
        <w:t>Advance Beneficiary Notices (ABN):</w:t>
      </w:r>
    </w:p>
    <w:p w:rsidR="00AB1FA1" w:rsidRDefault="008D5D60" w:rsidP="0083006D">
      <w:pPr>
        <w:tabs>
          <w:tab w:val="left" w:pos="5220"/>
        </w:tabs>
        <w:spacing w:line="240" w:lineRule="auto"/>
        <w:ind w:left="720"/>
        <w:jc w:val="both"/>
      </w:pPr>
      <w:r>
        <w:t xml:space="preserve"> Medicare can deny reimbursement for tests based upon </w:t>
      </w:r>
      <w:r w:rsidR="005326A1">
        <w:t xml:space="preserve">the </w:t>
      </w:r>
      <w:r>
        <w:t xml:space="preserve">absence of a diagnosis </w:t>
      </w:r>
      <w:r w:rsidR="00492985">
        <w:t>or</w:t>
      </w:r>
      <w:r>
        <w:t xml:space="preserve"> ICD-10 code that supports medical necessity, investigational use only tests and frequency limitations.  An ABN signed by the patient prior to service is necessary to document that the patient is aware that Medicare may not pay for a tests and that the patient has agreed to be responsible for payment in the event Medicare payment is denied.  </w:t>
      </w:r>
      <w:r w:rsidR="00BD02DA">
        <w:t>It is the responsibility of the physician or authorized party to obtain a properly completed ABN when the patient is serviced in his / her office</w:t>
      </w:r>
      <w:r w:rsidR="005326A1">
        <w:t>.  The completed ABN form should then accompany the patient or specimen to the laboratory</w:t>
      </w:r>
      <w:r w:rsidR="00567739">
        <w:t>.</w:t>
      </w:r>
      <w:r w:rsidR="00BD02DA">
        <w:t xml:space="preserve">  </w:t>
      </w:r>
    </w:p>
    <w:p w:rsidR="0053388C" w:rsidRPr="007B63AD" w:rsidRDefault="0053388C" w:rsidP="007B63AD">
      <w:pPr>
        <w:shd w:val="clear" w:color="auto" w:fill="FFFFFF"/>
        <w:tabs>
          <w:tab w:val="left" w:pos="1575"/>
        </w:tabs>
        <w:spacing w:line="240" w:lineRule="auto"/>
        <w:jc w:val="both"/>
        <w:textAlignment w:val="top"/>
        <w:rPr>
          <w:rFonts w:cstheme="minorHAnsi"/>
          <w:color w:val="414042"/>
          <w:sz w:val="16"/>
          <w:szCs w:val="16"/>
        </w:rPr>
      </w:pPr>
    </w:p>
    <w:p w:rsidR="001C3907" w:rsidRDefault="0083006D" w:rsidP="00354A39">
      <w:pPr>
        <w:shd w:val="clear" w:color="auto" w:fill="FFFFFF"/>
        <w:tabs>
          <w:tab w:val="left" w:pos="5220"/>
        </w:tabs>
        <w:spacing w:line="240" w:lineRule="auto"/>
        <w:jc w:val="both"/>
        <w:textAlignment w:val="top"/>
        <w:rPr>
          <w:rFonts w:cstheme="minorHAnsi"/>
        </w:rPr>
      </w:pPr>
      <w:r>
        <w:rPr>
          <w:rFonts w:cstheme="minorHAnsi"/>
          <w:b/>
        </w:rPr>
        <w:t xml:space="preserve">               </w:t>
      </w:r>
      <w:r w:rsidR="00C8120A" w:rsidRPr="00354A39">
        <w:rPr>
          <w:rFonts w:cstheme="minorHAnsi"/>
          <w:b/>
        </w:rPr>
        <w:t>Reflex Testing:</w:t>
      </w:r>
      <w:r w:rsidR="00C8120A" w:rsidRPr="00354A39">
        <w:rPr>
          <w:rFonts w:cstheme="minorHAnsi"/>
        </w:rPr>
        <w:t xml:space="preserve"> </w:t>
      </w:r>
    </w:p>
    <w:p w:rsidR="0066716E" w:rsidRDefault="00B3155C" w:rsidP="0083006D">
      <w:pPr>
        <w:shd w:val="clear" w:color="auto" w:fill="FFFFFF"/>
        <w:tabs>
          <w:tab w:val="left" w:pos="5220"/>
        </w:tabs>
        <w:spacing w:line="240" w:lineRule="auto"/>
        <w:ind w:left="720"/>
        <w:jc w:val="both"/>
        <w:textAlignment w:val="top"/>
      </w:pPr>
      <w:r w:rsidRPr="00354A39">
        <w:rPr>
          <w:rFonts w:cstheme="minorHAnsi"/>
        </w:rPr>
        <w:t>For some laboratory tests, when certain criteria are met, additional testing will be generated to provide more conclusive information for diagnosis and treatment.  The CPT code will accurately reflect the testing that is performed.  If you determine that reflex testing is not medically necessary</w:t>
      </w:r>
      <w:r w:rsidR="0030285E" w:rsidRPr="00354A39">
        <w:rPr>
          <w:rFonts w:cstheme="minorHAnsi"/>
        </w:rPr>
        <w:t>,</w:t>
      </w:r>
      <w:r w:rsidRPr="00354A39">
        <w:rPr>
          <w:rFonts w:cstheme="minorHAnsi"/>
        </w:rPr>
        <w:t xml:space="preserve"> you may indicate on the requisition by listing only the specific test or component needed</w:t>
      </w:r>
      <w:r w:rsidR="0030285E" w:rsidRPr="00354A39">
        <w:rPr>
          <w:rFonts w:cstheme="minorHAnsi"/>
        </w:rPr>
        <w:t>,</w:t>
      </w:r>
      <w:r w:rsidRPr="00354A39">
        <w:rPr>
          <w:rFonts w:cstheme="minorHAnsi"/>
        </w:rPr>
        <w:t xml:space="preserve"> or by indicating “No Reflex” on the requisition</w:t>
      </w:r>
      <w:r w:rsidR="0066716E" w:rsidRPr="00354A39">
        <w:rPr>
          <w:rFonts w:cstheme="minorHAnsi"/>
        </w:rPr>
        <w:t xml:space="preserve">, or contact the laboratory directly. </w:t>
      </w:r>
    </w:p>
    <w:p w:rsidR="00701917" w:rsidRDefault="00701917" w:rsidP="00C64B64">
      <w:pPr>
        <w:shd w:val="clear" w:color="auto" w:fill="FFFFFF"/>
        <w:tabs>
          <w:tab w:val="left" w:pos="5220"/>
        </w:tabs>
        <w:spacing w:line="240" w:lineRule="auto"/>
        <w:jc w:val="both"/>
        <w:textAlignment w:val="top"/>
      </w:pPr>
    </w:p>
    <w:p w:rsidR="00C64B64" w:rsidRPr="00C64B64" w:rsidRDefault="00C64B64" w:rsidP="00C64B64">
      <w:pPr>
        <w:shd w:val="clear" w:color="auto" w:fill="FFFFFF"/>
        <w:tabs>
          <w:tab w:val="left" w:pos="5220"/>
        </w:tabs>
        <w:spacing w:line="240" w:lineRule="auto"/>
        <w:jc w:val="both"/>
        <w:textAlignment w:val="top"/>
        <w:rPr>
          <w:b/>
        </w:rPr>
      </w:pPr>
      <w:r>
        <w:t xml:space="preserve"> </w:t>
      </w:r>
      <w:r w:rsidR="0083006D">
        <w:t xml:space="preserve">              </w:t>
      </w:r>
      <w:r w:rsidRPr="00C64B64">
        <w:rPr>
          <w:b/>
        </w:rPr>
        <w:t>2019 Medicare Clinical Diagnostic Laboratory Tests Payment System</w:t>
      </w:r>
      <w:r w:rsidR="001C3907">
        <w:rPr>
          <w:b/>
        </w:rPr>
        <w:t>:</w:t>
      </w:r>
    </w:p>
    <w:p w:rsidR="007C04B5" w:rsidRDefault="007C04B5" w:rsidP="007C04B5">
      <w:pPr>
        <w:shd w:val="clear" w:color="auto" w:fill="FFFFFF"/>
        <w:tabs>
          <w:tab w:val="left" w:pos="5220"/>
        </w:tabs>
        <w:spacing w:line="240" w:lineRule="auto"/>
        <w:jc w:val="both"/>
        <w:textAlignment w:val="top"/>
      </w:pPr>
      <w:r>
        <w:t xml:space="preserve"> </w:t>
      </w:r>
      <w:r w:rsidR="0083006D">
        <w:t xml:space="preserve">             </w:t>
      </w:r>
      <w:r w:rsidR="00C64B64">
        <w:t>Effective January 1, 201</w:t>
      </w:r>
      <w:r w:rsidR="00596885">
        <w:t>8</w:t>
      </w:r>
      <w:r w:rsidR="00C64B64">
        <w:t>, the Clinical Lab Fess Schedule (CLFS) reimbursement rate</w:t>
      </w:r>
      <w:r w:rsidR="007A7158">
        <w:t>s</w:t>
      </w:r>
      <w:r w:rsidR="00C64B64">
        <w:t xml:space="preserve"> were revised to </w:t>
      </w:r>
      <w:r>
        <w:t xml:space="preserve">         </w:t>
      </w:r>
    </w:p>
    <w:p w:rsidR="007C04B5" w:rsidRDefault="007C04B5" w:rsidP="007C04B5">
      <w:pPr>
        <w:shd w:val="clear" w:color="auto" w:fill="FFFFFF"/>
        <w:tabs>
          <w:tab w:val="left" w:pos="5220"/>
        </w:tabs>
        <w:spacing w:line="240" w:lineRule="auto"/>
        <w:jc w:val="both"/>
        <w:textAlignment w:val="top"/>
      </w:pPr>
      <w:r>
        <w:t xml:space="preserve"> </w:t>
      </w:r>
      <w:r w:rsidR="0083006D">
        <w:t xml:space="preserve">             </w:t>
      </w:r>
      <w:r w:rsidR="00C64B64">
        <w:t xml:space="preserve">be </w:t>
      </w:r>
      <w:r>
        <w:t>b</w:t>
      </w:r>
      <w:r w:rsidR="00C64B64">
        <w:t xml:space="preserve">ased on the weighted median private payor rates as required by the Protecting Access to </w:t>
      </w:r>
      <w:r>
        <w:t xml:space="preserve"> </w:t>
      </w:r>
    </w:p>
    <w:p w:rsidR="007C04B5" w:rsidRDefault="007C04B5" w:rsidP="007C04B5">
      <w:pPr>
        <w:shd w:val="clear" w:color="auto" w:fill="FFFFFF"/>
        <w:tabs>
          <w:tab w:val="left" w:pos="5220"/>
        </w:tabs>
        <w:spacing w:line="240" w:lineRule="auto"/>
        <w:jc w:val="both"/>
        <w:textAlignment w:val="top"/>
      </w:pPr>
      <w:r>
        <w:t xml:space="preserve"> </w:t>
      </w:r>
      <w:r w:rsidR="0083006D">
        <w:t xml:space="preserve">              </w:t>
      </w:r>
      <w:r>
        <w:t xml:space="preserve">Medicare Act </w:t>
      </w:r>
      <w:r w:rsidR="00C64B64">
        <w:t xml:space="preserve">(PAMA) of 2014.  Co-payments and deductibles do not apply to services paid under the </w:t>
      </w:r>
      <w:r>
        <w:t xml:space="preserve"> </w:t>
      </w:r>
    </w:p>
    <w:p w:rsidR="007C04B5" w:rsidRDefault="007C04B5" w:rsidP="007C04B5">
      <w:pPr>
        <w:shd w:val="clear" w:color="auto" w:fill="FFFFFF"/>
        <w:tabs>
          <w:tab w:val="left" w:pos="5220"/>
        </w:tabs>
        <w:spacing w:line="240" w:lineRule="auto"/>
        <w:jc w:val="both"/>
        <w:textAlignment w:val="top"/>
      </w:pPr>
      <w:r>
        <w:t xml:space="preserve"> </w:t>
      </w:r>
      <w:r w:rsidR="0083006D">
        <w:t xml:space="preserve">             </w:t>
      </w:r>
      <w:r w:rsidR="00C64B64">
        <w:t xml:space="preserve">Medicare clinical laboratory fee schedule.  Also, Medicaid reimbursement will be equal to, or less </w:t>
      </w:r>
    </w:p>
    <w:p w:rsidR="007A7158" w:rsidRDefault="007A7158" w:rsidP="007C04B5">
      <w:pPr>
        <w:shd w:val="clear" w:color="auto" w:fill="FFFFFF"/>
        <w:tabs>
          <w:tab w:val="left" w:pos="5220"/>
        </w:tabs>
        <w:spacing w:line="240" w:lineRule="auto"/>
        <w:jc w:val="both"/>
        <w:textAlignment w:val="top"/>
      </w:pPr>
      <w:r>
        <w:t xml:space="preserve"> </w:t>
      </w:r>
      <w:r w:rsidR="0083006D">
        <w:t xml:space="preserve">             </w:t>
      </w:r>
      <w:r w:rsidR="00C64B64">
        <w:t>than Medicare reimbursement.   The 2019 Medicare Clinical Laboratory Fee schedule may be view</w:t>
      </w:r>
      <w:r w:rsidR="00606570">
        <w:t>ed</w:t>
      </w:r>
      <w:r w:rsidR="00C64B64">
        <w:t xml:space="preserve"> </w:t>
      </w:r>
      <w:r>
        <w:t xml:space="preserve"> </w:t>
      </w:r>
    </w:p>
    <w:p w:rsidR="00C64B64" w:rsidRDefault="007A7158" w:rsidP="007C04B5">
      <w:pPr>
        <w:shd w:val="clear" w:color="auto" w:fill="FFFFFF"/>
        <w:tabs>
          <w:tab w:val="left" w:pos="5220"/>
        </w:tabs>
        <w:spacing w:line="240" w:lineRule="auto"/>
        <w:jc w:val="both"/>
        <w:textAlignment w:val="top"/>
      </w:pPr>
      <w:r>
        <w:t xml:space="preserve"> </w:t>
      </w:r>
      <w:r w:rsidR="0083006D">
        <w:t xml:space="preserve">             </w:t>
      </w:r>
      <w:r w:rsidR="00C64B64">
        <w:t xml:space="preserve">and downloaded at:  </w:t>
      </w:r>
    </w:p>
    <w:p w:rsidR="0083006D" w:rsidRPr="0083006D" w:rsidRDefault="0083006D" w:rsidP="00C64B64">
      <w:pPr>
        <w:shd w:val="clear" w:color="auto" w:fill="FFFFFF"/>
        <w:tabs>
          <w:tab w:val="left" w:pos="5220"/>
        </w:tabs>
        <w:spacing w:line="240" w:lineRule="auto"/>
        <w:jc w:val="both"/>
        <w:textAlignment w:val="top"/>
        <w:rPr>
          <w:color w:val="0000FF"/>
          <w:u w:val="single"/>
        </w:rPr>
      </w:pPr>
      <w:r>
        <w:rPr>
          <w:color w:val="0000FF"/>
        </w:rPr>
        <w:t xml:space="preserve">             </w:t>
      </w:r>
      <w:r>
        <w:rPr>
          <w:color w:val="0000FF"/>
          <w:u w:val="single"/>
        </w:rPr>
        <w:t xml:space="preserve"> </w:t>
      </w:r>
      <w:r>
        <w:rPr>
          <w:color w:val="0000FF"/>
          <w:u w:val="single"/>
        </w:rPr>
        <w:fldChar w:fldCharType="begin"/>
      </w:r>
      <w:r>
        <w:rPr>
          <w:color w:val="0000FF"/>
          <w:u w:val="single"/>
        </w:rPr>
        <w:instrText xml:space="preserve"> HYPERLINK "</w:instrText>
      </w:r>
      <w:r w:rsidRPr="0083006D">
        <w:rPr>
          <w:color w:val="0000FF"/>
          <w:u w:val="single"/>
        </w:rPr>
        <w:instrText xml:space="preserve">https://www.cms.gov/Medicare/Medicare-Fee-for-Service-Payment/ClinicalLabFeeSched/Clinical-    </w:instrText>
      </w:r>
    </w:p>
    <w:p w:rsidR="0083006D" w:rsidRPr="00122846" w:rsidRDefault="0083006D" w:rsidP="00C64B64">
      <w:pPr>
        <w:shd w:val="clear" w:color="auto" w:fill="FFFFFF"/>
        <w:tabs>
          <w:tab w:val="left" w:pos="5220"/>
        </w:tabs>
        <w:spacing w:line="240" w:lineRule="auto"/>
        <w:jc w:val="both"/>
        <w:textAlignment w:val="top"/>
        <w:rPr>
          <w:rStyle w:val="Hyperlink"/>
        </w:rPr>
      </w:pPr>
      <w:r w:rsidRPr="0083006D">
        <w:rPr>
          <w:color w:val="0000FF"/>
          <w:u w:val="single"/>
        </w:rPr>
        <w:instrText xml:space="preserve">              Laboratory-Fee-Schedule-Files.html</w:instrText>
      </w:r>
      <w:r>
        <w:rPr>
          <w:color w:val="0000FF"/>
          <w:u w:val="single"/>
        </w:rPr>
        <w:instrText xml:space="preserve">" </w:instrText>
      </w:r>
      <w:r>
        <w:rPr>
          <w:color w:val="0000FF"/>
          <w:u w:val="single"/>
        </w:rPr>
        <w:fldChar w:fldCharType="separate"/>
      </w:r>
      <w:r w:rsidRPr="00122846">
        <w:rPr>
          <w:rStyle w:val="Hyperlink"/>
        </w:rPr>
        <w:t xml:space="preserve">https://www.cms.gov/Medicare/Medicare-Fee-for-Service-Payment/ClinicalLabFeeSched/Clinical-    </w:t>
      </w:r>
    </w:p>
    <w:p w:rsidR="00C64B64" w:rsidRDefault="0083006D" w:rsidP="00C64B64">
      <w:pPr>
        <w:shd w:val="clear" w:color="auto" w:fill="FFFFFF"/>
        <w:tabs>
          <w:tab w:val="left" w:pos="5220"/>
        </w:tabs>
        <w:spacing w:line="240" w:lineRule="auto"/>
        <w:jc w:val="both"/>
        <w:textAlignment w:val="top"/>
      </w:pPr>
      <w:r w:rsidRPr="0083006D">
        <w:rPr>
          <w:rStyle w:val="Hyperlink"/>
          <w:u w:val="none"/>
        </w:rPr>
        <w:t xml:space="preserve">             </w:t>
      </w:r>
      <w:r w:rsidRPr="00122846">
        <w:rPr>
          <w:rStyle w:val="Hyperlink"/>
        </w:rPr>
        <w:t xml:space="preserve"> Laboratory-Fee-Schedule-Files.html</w:t>
      </w:r>
      <w:r>
        <w:rPr>
          <w:color w:val="0000FF"/>
          <w:u w:val="single"/>
        </w:rPr>
        <w:fldChar w:fldCharType="end"/>
      </w:r>
    </w:p>
    <w:p w:rsidR="0030285E" w:rsidRDefault="0030285E" w:rsidP="0066716E">
      <w:pPr>
        <w:pStyle w:val="ListParagraph"/>
        <w:shd w:val="clear" w:color="auto" w:fill="FFFFFF"/>
        <w:tabs>
          <w:tab w:val="left" w:pos="5220"/>
        </w:tabs>
        <w:spacing w:line="240" w:lineRule="auto"/>
        <w:ind w:left="1080"/>
        <w:jc w:val="both"/>
        <w:textAlignment w:val="top"/>
      </w:pPr>
    </w:p>
    <w:p w:rsidR="007C04B5" w:rsidRPr="006B3D8B" w:rsidRDefault="0083006D" w:rsidP="0083006D">
      <w:pPr>
        <w:shd w:val="clear" w:color="auto" w:fill="FFFFFF"/>
        <w:tabs>
          <w:tab w:val="left" w:pos="720"/>
          <w:tab w:val="left" w:pos="5220"/>
        </w:tabs>
        <w:spacing w:line="240" w:lineRule="auto"/>
        <w:jc w:val="both"/>
        <w:textAlignment w:val="top"/>
        <w:rPr>
          <w:b/>
        </w:rPr>
      </w:pPr>
      <w:r>
        <w:rPr>
          <w:b/>
        </w:rPr>
        <w:t xml:space="preserve">              </w:t>
      </w:r>
      <w:r w:rsidR="006B3D8B" w:rsidRPr="006B3D8B">
        <w:rPr>
          <w:b/>
        </w:rPr>
        <w:t>Pre-Authorization for Lab Services:</w:t>
      </w:r>
    </w:p>
    <w:p w:rsidR="006B3D8B" w:rsidRDefault="006B3D8B" w:rsidP="0083006D">
      <w:pPr>
        <w:shd w:val="clear" w:color="auto" w:fill="FFFFFF"/>
        <w:tabs>
          <w:tab w:val="left" w:pos="5220"/>
        </w:tabs>
        <w:spacing w:line="240" w:lineRule="auto"/>
        <w:ind w:left="720"/>
        <w:jc w:val="both"/>
        <w:textAlignment w:val="top"/>
      </w:pPr>
      <w:r>
        <w:t xml:space="preserve">Insurance payors continue to increase oversight and restrict access by requiring pre-authorization for certain lab tests, including but not limited to </w:t>
      </w:r>
      <w:r w:rsidRPr="001C3907">
        <w:rPr>
          <w:u w:val="single"/>
        </w:rPr>
        <w:t xml:space="preserve">Genetic </w:t>
      </w:r>
      <w:r w:rsidR="0083006D">
        <w:rPr>
          <w:u w:val="single"/>
        </w:rPr>
        <w:t>M</w:t>
      </w:r>
      <w:r w:rsidRPr="001C3907">
        <w:rPr>
          <w:u w:val="single"/>
        </w:rPr>
        <w:t>arkers, Cytogenetics and Molecular testing</w:t>
      </w:r>
      <w:r>
        <w:t xml:space="preserve">.   Please work with your patient to review their payor-specific preauthorization requirements.  Any preauthorization paperwork must be completed by the ordering provider’s office prior to submission of any lab orders and / or specimens.  Please include the preauthorization number on the order, along with any related documentation.  If preauthorization is required by the payor but is not done by the ordering provider prior to submission, the laboratory may delay or suspend processing until the required authorization can be completed.  </w:t>
      </w:r>
    </w:p>
    <w:p w:rsidR="00492985" w:rsidRDefault="00492985" w:rsidP="00492985">
      <w:pPr>
        <w:shd w:val="clear" w:color="auto" w:fill="FFFFFF"/>
        <w:tabs>
          <w:tab w:val="left" w:pos="5220"/>
        </w:tabs>
        <w:spacing w:line="240" w:lineRule="auto"/>
        <w:jc w:val="both"/>
        <w:textAlignment w:val="top"/>
      </w:pPr>
    </w:p>
    <w:p w:rsidR="005A1E36" w:rsidRDefault="0037100D" w:rsidP="0066716E">
      <w:pPr>
        <w:shd w:val="clear" w:color="auto" w:fill="FFFFFF"/>
        <w:tabs>
          <w:tab w:val="left" w:pos="5220"/>
        </w:tabs>
        <w:spacing w:line="240" w:lineRule="auto"/>
        <w:jc w:val="both"/>
        <w:textAlignment w:val="top"/>
      </w:pPr>
      <w:r>
        <w:t>CaroMont Health L</w:t>
      </w:r>
      <w:r w:rsidR="0083006D">
        <w:t>aboratory is committed to compliance</w:t>
      </w:r>
      <w:r>
        <w:t xml:space="preserve"> with all federal, state and local laws, and to adhere to all program requirements for federal, state and private health plans.  Your partnership with CaroMont Health Laboratory is </w:t>
      </w:r>
      <w:r w:rsidR="005A1E36">
        <w:t>fundamental to the success of our compliance program, and we th</w:t>
      </w:r>
      <w:r w:rsidR="00417D76">
        <w:t>ank</w:t>
      </w:r>
      <w:r w:rsidR="005A1E36">
        <w:t xml:space="preserve"> you for your cooperation and continued participation.  </w:t>
      </w:r>
    </w:p>
    <w:p w:rsidR="005A1E36" w:rsidRDefault="005A1E36" w:rsidP="0066716E">
      <w:pPr>
        <w:shd w:val="clear" w:color="auto" w:fill="FFFFFF"/>
        <w:tabs>
          <w:tab w:val="left" w:pos="5220"/>
        </w:tabs>
        <w:spacing w:line="240" w:lineRule="auto"/>
        <w:jc w:val="both"/>
        <w:textAlignment w:val="top"/>
      </w:pPr>
    </w:p>
    <w:p w:rsidR="00851D5D" w:rsidRDefault="005A1E36" w:rsidP="0066716E">
      <w:pPr>
        <w:shd w:val="clear" w:color="auto" w:fill="FFFFFF"/>
        <w:tabs>
          <w:tab w:val="left" w:pos="5220"/>
        </w:tabs>
        <w:spacing w:line="240" w:lineRule="auto"/>
        <w:jc w:val="both"/>
        <w:textAlignment w:val="top"/>
      </w:pPr>
      <w:r>
        <w:t xml:space="preserve">If you have any questions or comments about this annual notice, any information contained, or any other issue or concern related to laboratory compliance, please contact David Mills, Laboratory Administrative Director at </w:t>
      </w:r>
      <w:r w:rsidR="00492985">
        <w:t xml:space="preserve"> </w:t>
      </w:r>
      <w:hyperlink r:id="rId12" w:history="1">
        <w:r w:rsidR="00492985" w:rsidRPr="00401038">
          <w:rPr>
            <w:rStyle w:val="Hyperlink"/>
          </w:rPr>
          <w:t>david.mills@caromonthealth.org</w:t>
        </w:r>
      </w:hyperlink>
      <w:r>
        <w:t xml:space="preserve"> or 704-834-2885. </w:t>
      </w:r>
      <w:r w:rsidR="00492985">
        <w:t xml:space="preserve">  </w:t>
      </w:r>
    </w:p>
    <w:p w:rsidR="00492985" w:rsidRDefault="00492985" w:rsidP="0066716E">
      <w:pPr>
        <w:shd w:val="clear" w:color="auto" w:fill="FFFFFF"/>
        <w:tabs>
          <w:tab w:val="left" w:pos="5220"/>
        </w:tabs>
        <w:spacing w:line="240" w:lineRule="auto"/>
        <w:jc w:val="both"/>
        <w:textAlignment w:val="top"/>
      </w:pPr>
    </w:p>
    <w:p w:rsidR="00492985" w:rsidRDefault="00492985" w:rsidP="0066716E">
      <w:pPr>
        <w:shd w:val="clear" w:color="auto" w:fill="FFFFFF"/>
        <w:tabs>
          <w:tab w:val="left" w:pos="5220"/>
        </w:tabs>
        <w:spacing w:line="240" w:lineRule="auto"/>
        <w:jc w:val="both"/>
        <w:textAlignment w:val="top"/>
      </w:pPr>
    </w:p>
    <w:p w:rsidR="00492985" w:rsidRDefault="00492985" w:rsidP="00492985">
      <w:pPr>
        <w:shd w:val="clear" w:color="auto" w:fill="FFFFFF"/>
        <w:tabs>
          <w:tab w:val="left" w:pos="5220"/>
        </w:tabs>
        <w:spacing w:line="240" w:lineRule="auto"/>
        <w:jc w:val="both"/>
        <w:textAlignment w:val="top"/>
      </w:pPr>
      <w:r>
        <w:t>Attachments:  2019 AMA Recognized Organ / Disease Panels</w:t>
      </w:r>
    </w:p>
    <w:p w:rsidR="00AF5023" w:rsidRDefault="00AF5023" w:rsidP="00492985">
      <w:pPr>
        <w:shd w:val="clear" w:color="auto" w:fill="FFFFFF"/>
        <w:tabs>
          <w:tab w:val="left" w:pos="5220"/>
        </w:tabs>
        <w:spacing w:line="240" w:lineRule="auto"/>
        <w:jc w:val="both"/>
        <w:textAlignment w:val="top"/>
      </w:pPr>
    </w:p>
    <w:p w:rsidR="00AF5023" w:rsidRDefault="00AF5023" w:rsidP="00492985">
      <w:pPr>
        <w:shd w:val="clear" w:color="auto" w:fill="FFFFFF"/>
        <w:tabs>
          <w:tab w:val="left" w:pos="5220"/>
        </w:tabs>
        <w:spacing w:line="240" w:lineRule="auto"/>
        <w:jc w:val="both"/>
        <w:textAlignment w:val="top"/>
      </w:pPr>
    </w:p>
    <w:p w:rsidR="00AF5023" w:rsidRDefault="00AF5023" w:rsidP="00492985">
      <w:pPr>
        <w:shd w:val="clear" w:color="auto" w:fill="FFFFFF"/>
        <w:tabs>
          <w:tab w:val="left" w:pos="5220"/>
        </w:tabs>
        <w:spacing w:line="240" w:lineRule="auto"/>
        <w:jc w:val="both"/>
        <w:textAlignment w:val="top"/>
      </w:pPr>
    </w:p>
    <w:p w:rsidR="00AF5023" w:rsidRDefault="00AF5023" w:rsidP="00AF5023">
      <w:pPr>
        <w:shd w:val="clear" w:color="auto" w:fill="FFFFFF"/>
        <w:tabs>
          <w:tab w:val="left" w:pos="5220"/>
        </w:tabs>
        <w:spacing w:line="240" w:lineRule="auto"/>
        <w:jc w:val="center"/>
        <w:textAlignment w:val="top"/>
      </w:pPr>
      <w:r>
        <w:rPr>
          <w:noProof/>
        </w:rPr>
        <w:lastRenderedPageBreak/>
        <w:drawing>
          <wp:inline distT="0" distB="0" distL="0" distR="0">
            <wp:extent cx="3381375" cy="885825"/>
            <wp:effectExtent l="0" t="0" r="9525" b="9525"/>
            <wp:docPr id="2" name="Picture 2" descr="Laboratory_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boratory_Gra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885825"/>
                    </a:xfrm>
                    <a:prstGeom prst="rect">
                      <a:avLst/>
                    </a:prstGeom>
                    <a:noFill/>
                    <a:ln>
                      <a:noFill/>
                    </a:ln>
                  </pic:spPr>
                </pic:pic>
              </a:graphicData>
            </a:graphic>
          </wp:inline>
        </w:drawing>
      </w:r>
    </w:p>
    <w:p w:rsidR="00AF5023" w:rsidRPr="00AF5023" w:rsidRDefault="00AF5023" w:rsidP="00AF5023"/>
    <w:p w:rsidR="00AF5023" w:rsidRPr="00AF5023" w:rsidRDefault="00AF5023" w:rsidP="00AF5023">
      <w:pPr>
        <w:pStyle w:val="BodyText"/>
        <w:rPr>
          <w:rFonts w:asciiTheme="minorHAnsi" w:hAnsiTheme="minorHAnsi"/>
          <w:b/>
          <w:sz w:val="22"/>
          <w:szCs w:val="22"/>
        </w:rPr>
      </w:pPr>
      <w:r w:rsidRPr="00AF5023">
        <w:rPr>
          <w:rFonts w:asciiTheme="minorHAnsi" w:hAnsiTheme="minorHAnsi"/>
          <w:b/>
          <w:sz w:val="22"/>
          <w:szCs w:val="22"/>
        </w:rPr>
        <w:t>Medical Necessity of Panels and Profiles</w:t>
      </w:r>
    </w:p>
    <w:p w:rsidR="00AF5023" w:rsidRPr="00AF5023" w:rsidRDefault="00AF5023" w:rsidP="00AF5023">
      <w:pPr>
        <w:pStyle w:val="BodyText"/>
        <w:rPr>
          <w:rFonts w:asciiTheme="minorHAnsi" w:hAnsiTheme="minorHAnsi"/>
          <w:sz w:val="22"/>
          <w:szCs w:val="22"/>
        </w:rPr>
      </w:pPr>
      <w:r w:rsidRPr="00AF5023">
        <w:rPr>
          <w:rFonts w:asciiTheme="minorHAnsi" w:hAnsiTheme="minorHAnsi"/>
          <w:sz w:val="22"/>
          <w:szCs w:val="22"/>
        </w:rPr>
        <w:t xml:space="preserve">It is the position of The Office of Inspector General (OIG), that the use of panels and profiles may result in medically unnecessary testing.  When panels or profiles are ordered on Medicare beneficiaries, please ensure that all of the individual component tests are medically necessary.  In cases where only certain components are medically necessary, individual tests or a less inclusive panel or profile should be ordered.  </w:t>
      </w:r>
    </w:p>
    <w:p w:rsidR="00AF5023" w:rsidRPr="00AF5023" w:rsidRDefault="00AF5023" w:rsidP="00AF5023">
      <w:pPr>
        <w:pStyle w:val="BodyText"/>
        <w:rPr>
          <w:rFonts w:asciiTheme="minorHAnsi" w:hAnsiTheme="minorHAnsi"/>
          <w:sz w:val="22"/>
          <w:szCs w:val="22"/>
        </w:rPr>
      </w:pPr>
      <w:r w:rsidRPr="00AF5023">
        <w:rPr>
          <w:rFonts w:asciiTheme="minorHAnsi" w:hAnsiTheme="minorHAnsi"/>
          <w:sz w:val="22"/>
          <w:szCs w:val="22"/>
        </w:rPr>
        <w:t>CaroMont Laboratory encourages the ordering of only medically necessary tests.</w:t>
      </w:r>
    </w:p>
    <w:p w:rsidR="00AF5023" w:rsidRDefault="00AF5023" w:rsidP="00AF5023"/>
    <w:p w:rsidR="00AF5023" w:rsidRPr="00AE6E0D" w:rsidRDefault="00AF5023" w:rsidP="00AF5023">
      <w:pPr>
        <w:pStyle w:val="BodyText"/>
        <w:rPr>
          <w:b/>
          <w:sz w:val="28"/>
          <w:szCs w:val="28"/>
        </w:rPr>
      </w:pPr>
      <w:r w:rsidRPr="00AE6E0D">
        <w:rPr>
          <w:b/>
          <w:sz w:val="28"/>
          <w:szCs w:val="28"/>
        </w:rPr>
        <w:t>201</w:t>
      </w:r>
      <w:r>
        <w:rPr>
          <w:b/>
          <w:sz w:val="28"/>
          <w:szCs w:val="28"/>
        </w:rPr>
        <w:t>9</w:t>
      </w:r>
      <w:r w:rsidRPr="00AE6E0D">
        <w:rPr>
          <w:b/>
          <w:sz w:val="28"/>
          <w:szCs w:val="28"/>
        </w:rPr>
        <w:t xml:space="preserve"> AM</w:t>
      </w:r>
      <w:r>
        <w:rPr>
          <w:b/>
          <w:sz w:val="28"/>
          <w:szCs w:val="28"/>
        </w:rPr>
        <w:t>A</w:t>
      </w:r>
      <w:r w:rsidRPr="00AE6E0D">
        <w:rPr>
          <w:b/>
          <w:sz w:val="28"/>
          <w:szCs w:val="28"/>
        </w:rPr>
        <w:t xml:space="preserve"> Organ </w:t>
      </w:r>
      <w:r>
        <w:rPr>
          <w:b/>
          <w:sz w:val="28"/>
          <w:szCs w:val="28"/>
        </w:rPr>
        <w:t>&amp;</w:t>
      </w:r>
      <w:r w:rsidRPr="00AE6E0D">
        <w:rPr>
          <w:b/>
          <w:sz w:val="28"/>
          <w:szCs w:val="28"/>
        </w:rPr>
        <w:t xml:space="preserve"> Disease Panels</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4"/>
        <w:gridCol w:w="1356"/>
        <w:gridCol w:w="1260"/>
      </w:tblGrid>
      <w:tr w:rsidR="00AF5023" w:rsidRPr="00550A61" w:rsidTr="00AF5023">
        <w:tc>
          <w:tcPr>
            <w:tcW w:w="6114" w:type="dxa"/>
          </w:tcPr>
          <w:p w:rsidR="00AF5023" w:rsidRPr="00550A61" w:rsidRDefault="00AF5023" w:rsidP="00B96656">
            <w:pPr>
              <w:pStyle w:val="BodyText"/>
              <w:jc w:val="center"/>
              <w:rPr>
                <w:b/>
              </w:rPr>
            </w:pPr>
          </w:p>
          <w:p w:rsidR="00AF5023" w:rsidRPr="00550A61" w:rsidRDefault="00AF5023" w:rsidP="00B96656">
            <w:pPr>
              <w:pStyle w:val="BodyText"/>
              <w:jc w:val="center"/>
              <w:rPr>
                <w:b/>
                <w:i/>
              </w:rPr>
            </w:pPr>
            <w:r w:rsidRPr="00550A61">
              <w:rPr>
                <w:b/>
              </w:rPr>
              <w:t>Panel &amp; Components</w:t>
            </w:r>
          </w:p>
        </w:tc>
        <w:tc>
          <w:tcPr>
            <w:tcW w:w="1356" w:type="dxa"/>
          </w:tcPr>
          <w:p w:rsidR="00AF5023" w:rsidRPr="00550A61" w:rsidRDefault="00AF5023" w:rsidP="00B96656">
            <w:pPr>
              <w:pStyle w:val="BodyText"/>
              <w:rPr>
                <w:b/>
              </w:rPr>
            </w:pPr>
            <w:r w:rsidRPr="00550A61">
              <w:rPr>
                <w:b/>
              </w:rPr>
              <w:t>Panel</w:t>
            </w:r>
          </w:p>
          <w:p w:rsidR="00AF5023" w:rsidRPr="00550A61" w:rsidRDefault="00AF5023" w:rsidP="00B96656">
            <w:pPr>
              <w:pStyle w:val="BodyText"/>
              <w:rPr>
                <w:b/>
              </w:rPr>
            </w:pPr>
            <w:r w:rsidRPr="00550A61">
              <w:rPr>
                <w:b/>
              </w:rPr>
              <w:t>CPT</w:t>
            </w:r>
          </w:p>
        </w:tc>
        <w:tc>
          <w:tcPr>
            <w:tcW w:w="1260" w:type="dxa"/>
          </w:tcPr>
          <w:p w:rsidR="00AF5023" w:rsidRPr="00550A61" w:rsidRDefault="00AF5023" w:rsidP="00B96656">
            <w:pPr>
              <w:pStyle w:val="BodyText"/>
              <w:rPr>
                <w:b/>
                <w:sz w:val="22"/>
                <w:szCs w:val="22"/>
              </w:rPr>
            </w:pPr>
            <w:r w:rsidRPr="00550A61">
              <w:rPr>
                <w:b/>
                <w:sz w:val="22"/>
                <w:szCs w:val="22"/>
              </w:rPr>
              <w:t>201</w:t>
            </w:r>
            <w:r>
              <w:rPr>
                <w:b/>
                <w:sz w:val="22"/>
                <w:szCs w:val="22"/>
              </w:rPr>
              <w:t>9</w:t>
            </w:r>
            <w:r w:rsidRPr="00550A61">
              <w:rPr>
                <w:b/>
                <w:sz w:val="22"/>
                <w:szCs w:val="22"/>
              </w:rPr>
              <w:t xml:space="preserve"> NC Medicare Allowable</w:t>
            </w:r>
          </w:p>
        </w:tc>
      </w:tr>
      <w:tr w:rsidR="00AF5023" w:rsidRPr="00550A61" w:rsidTr="00AF5023">
        <w:tc>
          <w:tcPr>
            <w:tcW w:w="6114" w:type="dxa"/>
          </w:tcPr>
          <w:p w:rsidR="00AF5023" w:rsidRPr="00550A61" w:rsidRDefault="00AF5023" w:rsidP="00B96656">
            <w:pPr>
              <w:pStyle w:val="BodyText"/>
              <w:rPr>
                <w:b/>
              </w:rPr>
            </w:pPr>
            <w:r w:rsidRPr="00550A61">
              <w:rPr>
                <w:b/>
              </w:rPr>
              <w:t>Electrolyte Panel:</w:t>
            </w:r>
            <w:r w:rsidRPr="00550A61">
              <w:rPr>
                <w:sz w:val="22"/>
                <w:szCs w:val="22"/>
              </w:rPr>
              <w:t xml:space="preserve"> Sodium, Potassium, CO2, Chloride</w:t>
            </w:r>
          </w:p>
        </w:tc>
        <w:tc>
          <w:tcPr>
            <w:tcW w:w="1356" w:type="dxa"/>
          </w:tcPr>
          <w:p w:rsidR="00AF5023" w:rsidRPr="000A1F32" w:rsidRDefault="00AF5023" w:rsidP="00B96656">
            <w:pPr>
              <w:pStyle w:val="BodyText"/>
            </w:pPr>
            <w:r w:rsidRPr="000A1F32">
              <w:t>80051</w:t>
            </w:r>
          </w:p>
        </w:tc>
        <w:tc>
          <w:tcPr>
            <w:tcW w:w="1260" w:type="dxa"/>
          </w:tcPr>
          <w:p w:rsidR="00AF5023" w:rsidRPr="000A1F32" w:rsidRDefault="00AF5023" w:rsidP="00B96656">
            <w:pPr>
              <w:pStyle w:val="BodyText"/>
            </w:pPr>
            <w:r>
              <w:t>7.79</w:t>
            </w:r>
          </w:p>
        </w:tc>
      </w:tr>
      <w:tr w:rsidR="00AF5023" w:rsidRPr="00550A61" w:rsidTr="00AF5023">
        <w:tc>
          <w:tcPr>
            <w:tcW w:w="6114" w:type="dxa"/>
            <w:shd w:val="clear" w:color="auto" w:fill="92D050"/>
          </w:tcPr>
          <w:p w:rsidR="00AF5023" w:rsidRPr="00550A61" w:rsidRDefault="00AF5023" w:rsidP="00B96656">
            <w:pPr>
              <w:pStyle w:val="BodyText"/>
              <w:rPr>
                <w:b/>
                <w:sz w:val="16"/>
                <w:szCs w:val="16"/>
              </w:rPr>
            </w:pPr>
          </w:p>
        </w:tc>
        <w:tc>
          <w:tcPr>
            <w:tcW w:w="1356" w:type="dxa"/>
            <w:shd w:val="clear" w:color="auto" w:fill="92D050"/>
          </w:tcPr>
          <w:p w:rsidR="00AF5023" w:rsidRPr="00550A61" w:rsidRDefault="00AF5023" w:rsidP="00B96656">
            <w:pPr>
              <w:pStyle w:val="BodyText"/>
              <w:rPr>
                <w:sz w:val="16"/>
                <w:szCs w:val="16"/>
              </w:rPr>
            </w:pPr>
          </w:p>
        </w:tc>
        <w:tc>
          <w:tcPr>
            <w:tcW w:w="1260" w:type="dxa"/>
            <w:shd w:val="clear" w:color="auto" w:fill="92D050"/>
          </w:tcPr>
          <w:p w:rsidR="00AF5023" w:rsidRPr="00550A61" w:rsidRDefault="00AF5023" w:rsidP="00B96656">
            <w:pPr>
              <w:pStyle w:val="BodyText"/>
              <w:rPr>
                <w:sz w:val="16"/>
                <w:szCs w:val="16"/>
              </w:rPr>
            </w:pPr>
          </w:p>
        </w:tc>
      </w:tr>
      <w:tr w:rsidR="00AF5023" w:rsidRPr="00550A61" w:rsidTr="00AF5023">
        <w:tc>
          <w:tcPr>
            <w:tcW w:w="6114" w:type="dxa"/>
          </w:tcPr>
          <w:p w:rsidR="00AF5023" w:rsidRPr="00550A61" w:rsidRDefault="00AF5023" w:rsidP="00B96656">
            <w:pPr>
              <w:pStyle w:val="BodyText"/>
              <w:rPr>
                <w:b/>
              </w:rPr>
            </w:pPr>
            <w:r w:rsidRPr="00550A61">
              <w:rPr>
                <w:b/>
              </w:rPr>
              <w:t>Basic Metabolic Panel:</w:t>
            </w:r>
            <w:r w:rsidRPr="00550A61">
              <w:rPr>
                <w:sz w:val="22"/>
                <w:szCs w:val="22"/>
              </w:rPr>
              <w:t xml:space="preserve"> Sodium, Potassium, Chloride, CO2, BUN, Creatinine, Glucose, Calcium</w:t>
            </w:r>
            <w:r w:rsidRPr="00550A61">
              <w:rPr>
                <w:b/>
              </w:rPr>
              <w:t xml:space="preserve"> </w:t>
            </w:r>
          </w:p>
        </w:tc>
        <w:tc>
          <w:tcPr>
            <w:tcW w:w="1356" w:type="dxa"/>
          </w:tcPr>
          <w:p w:rsidR="00AF5023" w:rsidRPr="000A1F32" w:rsidRDefault="00AF5023" w:rsidP="00B96656">
            <w:pPr>
              <w:pStyle w:val="BodyText"/>
            </w:pPr>
            <w:r w:rsidRPr="000A1F32">
              <w:t>80048</w:t>
            </w:r>
          </w:p>
        </w:tc>
        <w:tc>
          <w:tcPr>
            <w:tcW w:w="1260" w:type="dxa"/>
          </w:tcPr>
          <w:p w:rsidR="00AF5023" w:rsidRPr="000A1F32" w:rsidRDefault="00AF5023" w:rsidP="00B96656">
            <w:pPr>
              <w:pStyle w:val="BodyText"/>
            </w:pPr>
            <w:r>
              <w:t>9.40</w:t>
            </w:r>
          </w:p>
        </w:tc>
      </w:tr>
      <w:tr w:rsidR="00AF5023" w:rsidRPr="00550A61" w:rsidTr="00AF5023">
        <w:tc>
          <w:tcPr>
            <w:tcW w:w="6114" w:type="dxa"/>
            <w:shd w:val="clear" w:color="auto" w:fill="92D050"/>
          </w:tcPr>
          <w:p w:rsidR="00AF5023" w:rsidRPr="00550A61" w:rsidRDefault="00AF5023" w:rsidP="00B96656">
            <w:pPr>
              <w:pStyle w:val="BodyText"/>
              <w:rPr>
                <w:b/>
                <w:sz w:val="16"/>
                <w:szCs w:val="16"/>
              </w:rPr>
            </w:pPr>
          </w:p>
        </w:tc>
        <w:tc>
          <w:tcPr>
            <w:tcW w:w="1356" w:type="dxa"/>
            <w:shd w:val="clear" w:color="auto" w:fill="92D050"/>
          </w:tcPr>
          <w:p w:rsidR="00AF5023" w:rsidRPr="00550A61" w:rsidRDefault="00AF5023" w:rsidP="00B96656">
            <w:pPr>
              <w:pStyle w:val="BodyText"/>
              <w:rPr>
                <w:sz w:val="16"/>
                <w:szCs w:val="16"/>
              </w:rPr>
            </w:pPr>
          </w:p>
        </w:tc>
        <w:tc>
          <w:tcPr>
            <w:tcW w:w="1260" w:type="dxa"/>
            <w:shd w:val="clear" w:color="auto" w:fill="92D050"/>
          </w:tcPr>
          <w:p w:rsidR="00AF5023" w:rsidRPr="00550A61" w:rsidRDefault="00AF5023" w:rsidP="00B96656">
            <w:pPr>
              <w:pStyle w:val="BodyText"/>
              <w:rPr>
                <w:sz w:val="16"/>
                <w:szCs w:val="16"/>
              </w:rPr>
            </w:pPr>
          </w:p>
        </w:tc>
      </w:tr>
      <w:tr w:rsidR="00AF5023" w:rsidRPr="00550A61" w:rsidTr="00AF5023">
        <w:tc>
          <w:tcPr>
            <w:tcW w:w="6114" w:type="dxa"/>
          </w:tcPr>
          <w:p w:rsidR="00AF5023" w:rsidRPr="00550A61" w:rsidRDefault="00AF5023" w:rsidP="00B96656">
            <w:pPr>
              <w:pStyle w:val="BodyText"/>
              <w:rPr>
                <w:sz w:val="22"/>
                <w:szCs w:val="22"/>
              </w:rPr>
            </w:pPr>
            <w:r w:rsidRPr="00550A61">
              <w:rPr>
                <w:b/>
              </w:rPr>
              <w:t>Comprehensive Metabolic Panel:</w:t>
            </w:r>
            <w:r w:rsidRPr="00550A61">
              <w:rPr>
                <w:sz w:val="22"/>
                <w:szCs w:val="22"/>
              </w:rPr>
              <w:t xml:space="preserve"> Albumin, Total Bilirubin, Calcium, CO2, Chloride, BUN, Creatinine, Glucose, Alkaline Phosphatase, Potassium, Total Protein, Sodium, ALT, AST</w:t>
            </w:r>
          </w:p>
        </w:tc>
        <w:tc>
          <w:tcPr>
            <w:tcW w:w="1356" w:type="dxa"/>
          </w:tcPr>
          <w:p w:rsidR="00AF5023" w:rsidRPr="000A1F32" w:rsidRDefault="00AF5023" w:rsidP="00B96656">
            <w:pPr>
              <w:pStyle w:val="BodyText"/>
            </w:pPr>
            <w:r w:rsidRPr="000A1F32">
              <w:t>80053</w:t>
            </w:r>
          </w:p>
        </w:tc>
        <w:tc>
          <w:tcPr>
            <w:tcW w:w="1260" w:type="dxa"/>
          </w:tcPr>
          <w:p w:rsidR="00AF5023" w:rsidRPr="000A1F32" w:rsidRDefault="00AF5023" w:rsidP="00B96656">
            <w:pPr>
              <w:pStyle w:val="BodyText"/>
            </w:pPr>
            <w:r>
              <w:t>11.74</w:t>
            </w:r>
          </w:p>
        </w:tc>
      </w:tr>
      <w:tr w:rsidR="00AF5023" w:rsidRPr="00550A61" w:rsidTr="00AF5023">
        <w:tc>
          <w:tcPr>
            <w:tcW w:w="6114" w:type="dxa"/>
            <w:shd w:val="clear" w:color="auto" w:fill="92D050"/>
          </w:tcPr>
          <w:p w:rsidR="00AF5023" w:rsidRPr="00550A61" w:rsidRDefault="00AF5023" w:rsidP="00B96656">
            <w:pPr>
              <w:pStyle w:val="BodyText"/>
              <w:rPr>
                <w:b/>
                <w:sz w:val="16"/>
                <w:szCs w:val="16"/>
              </w:rPr>
            </w:pPr>
          </w:p>
        </w:tc>
        <w:tc>
          <w:tcPr>
            <w:tcW w:w="1356" w:type="dxa"/>
            <w:shd w:val="clear" w:color="auto" w:fill="92D050"/>
          </w:tcPr>
          <w:p w:rsidR="00AF5023" w:rsidRPr="00550A61" w:rsidRDefault="00AF5023" w:rsidP="00B96656">
            <w:pPr>
              <w:pStyle w:val="BodyText"/>
              <w:rPr>
                <w:sz w:val="16"/>
                <w:szCs w:val="16"/>
              </w:rPr>
            </w:pPr>
          </w:p>
        </w:tc>
        <w:tc>
          <w:tcPr>
            <w:tcW w:w="1260" w:type="dxa"/>
            <w:shd w:val="clear" w:color="auto" w:fill="92D050"/>
          </w:tcPr>
          <w:p w:rsidR="00AF5023" w:rsidRPr="00550A61" w:rsidRDefault="00AF5023" w:rsidP="00B96656">
            <w:pPr>
              <w:pStyle w:val="BodyText"/>
              <w:rPr>
                <w:sz w:val="16"/>
                <w:szCs w:val="16"/>
              </w:rPr>
            </w:pPr>
          </w:p>
        </w:tc>
      </w:tr>
      <w:tr w:rsidR="00AF5023" w:rsidRPr="00550A61" w:rsidTr="00AF5023">
        <w:tc>
          <w:tcPr>
            <w:tcW w:w="6114" w:type="dxa"/>
          </w:tcPr>
          <w:p w:rsidR="00AF5023" w:rsidRPr="00550A61" w:rsidRDefault="00AF5023" w:rsidP="00B96656">
            <w:pPr>
              <w:pStyle w:val="BodyText"/>
              <w:rPr>
                <w:sz w:val="22"/>
                <w:szCs w:val="22"/>
              </w:rPr>
            </w:pPr>
            <w:r w:rsidRPr="00550A61">
              <w:rPr>
                <w:b/>
                <w:szCs w:val="24"/>
              </w:rPr>
              <w:t xml:space="preserve">Hepatic Function Panel: </w:t>
            </w:r>
            <w:r w:rsidRPr="00550A61">
              <w:rPr>
                <w:sz w:val="22"/>
                <w:szCs w:val="22"/>
              </w:rPr>
              <w:t>Albumin, Total &amp; Direct Bilirubin, Alkaline Phosphatase, Total Protein, ALT, AST</w:t>
            </w:r>
          </w:p>
        </w:tc>
        <w:tc>
          <w:tcPr>
            <w:tcW w:w="1356" w:type="dxa"/>
          </w:tcPr>
          <w:p w:rsidR="00AF5023" w:rsidRPr="000A1F32" w:rsidRDefault="00AF5023" w:rsidP="00B96656">
            <w:pPr>
              <w:pStyle w:val="BodyText"/>
            </w:pPr>
            <w:r w:rsidRPr="000A1F32">
              <w:t>80076</w:t>
            </w:r>
          </w:p>
        </w:tc>
        <w:tc>
          <w:tcPr>
            <w:tcW w:w="1260" w:type="dxa"/>
          </w:tcPr>
          <w:p w:rsidR="00AF5023" w:rsidRPr="000A1F32" w:rsidRDefault="00AF5023" w:rsidP="00B96656">
            <w:pPr>
              <w:pStyle w:val="BodyText"/>
            </w:pPr>
            <w:r>
              <w:t>9.08</w:t>
            </w:r>
          </w:p>
        </w:tc>
      </w:tr>
      <w:tr w:rsidR="00AF5023" w:rsidRPr="00550A61" w:rsidTr="00AF5023">
        <w:tc>
          <w:tcPr>
            <w:tcW w:w="6114" w:type="dxa"/>
            <w:shd w:val="clear" w:color="auto" w:fill="92D050"/>
          </w:tcPr>
          <w:p w:rsidR="00AF5023" w:rsidRPr="00550A61" w:rsidRDefault="00AF5023" w:rsidP="00B96656">
            <w:pPr>
              <w:pStyle w:val="BodyText"/>
              <w:rPr>
                <w:b/>
                <w:sz w:val="16"/>
                <w:szCs w:val="16"/>
              </w:rPr>
            </w:pPr>
          </w:p>
        </w:tc>
        <w:tc>
          <w:tcPr>
            <w:tcW w:w="1356" w:type="dxa"/>
            <w:shd w:val="clear" w:color="auto" w:fill="92D050"/>
          </w:tcPr>
          <w:p w:rsidR="00AF5023" w:rsidRPr="00550A61" w:rsidRDefault="00AF5023" w:rsidP="00B96656">
            <w:pPr>
              <w:pStyle w:val="BodyText"/>
              <w:rPr>
                <w:sz w:val="16"/>
                <w:szCs w:val="16"/>
              </w:rPr>
            </w:pPr>
          </w:p>
        </w:tc>
        <w:tc>
          <w:tcPr>
            <w:tcW w:w="1260" w:type="dxa"/>
            <w:shd w:val="clear" w:color="auto" w:fill="92D050"/>
          </w:tcPr>
          <w:p w:rsidR="00AF5023" w:rsidRPr="00550A61" w:rsidRDefault="00AF5023" w:rsidP="00B96656">
            <w:pPr>
              <w:pStyle w:val="BodyText"/>
              <w:rPr>
                <w:sz w:val="16"/>
                <w:szCs w:val="16"/>
              </w:rPr>
            </w:pPr>
          </w:p>
        </w:tc>
      </w:tr>
      <w:tr w:rsidR="00AF5023" w:rsidRPr="00550A61" w:rsidTr="00AF5023">
        <w:tc>
          <w:tcPr>
            <w:tcW w:w="6114" w:type="dxa"/>
          </w:tcPr>
          <w:p w:rsidR="00AF5023" w:rsidRPr="00550A61" w:rsidRDefault="00AF5023" w:rsidP="00B96656">
            <w:pPr>
              <w:pStyle w:val="BodyText"/>
              <w:rPr>
                <w:sz w:val="22"/>
                <w:szCs w:val="22"/>
              </w:rPr>
            </w:pPr>
            <w:r w:rsidRPr="00550A61">
              <w:rPr>
                <w:b/>
              </w:rPr>
              <w:t xml:space="preserve">Acute Hepatitis Panel: </w:t>
            </w:r>
            <w:r w:rsidRPr="00550A61">
              <w:rPr>
                <w:sz w:val="22"/>
                <w:szCs w:val="22"/>
              </w:rPr>
              <w:t xml:space="preserve"> Hepatitis A IgM Ab, Hepatitis B core IgM Ab, Hepatitis B surface Ag, Hepatitis C Ab</w:t>
            </w:r>
          </w:p>
        </w:tc>
        <w:tc>
          <w:tcPr>
            <w:tcW w:w="1356" w:type="dxa"/>
          </w:tcPr>
          <w:p w:rsidR="00AF5023" w:rsidRPr="000A1F32" w:rsidRDefault="00AF5023" w:rsidP="00B96656">
            <w:pPr>
              <w:pStyle w:val="BodyText"/>
            </w:pPr>
            <w:r w:rsidRPr="000A1F32">
              <w:t>80074</w:t>
            </w:r>
          </w:p>
        </w:tc>
        <w:tc>
          <w:tcPr>
            <w:tcW w:w="1260" w:type="dxa"/>
          </w:tcPr>
          <w:p w:rsidR="00AF5023" w:rsidRPr="000A1F32" w:rsidRDefault="00AF5023" w:rsidP="00B96656">
            <w:pPr>
              <w:pStyle w:val="BodyText"/>
            </w:pPr>
            <w:r>
              <w:t>52.93</w:t>
            </w:r>
          </w:p>
        </w:tc>
      </w:tr>
      <w:tr w:rsidR="00AF5023" w:rsidRPr="00550A61" w:rsidTr="00AF5023">
        <w:tc>
          <w:tcPr>
            <w:tcW w:w="6114" w:type="dxa"/>
            <w:shd w:val="clear" w:color="auto" w:fill="92D050"/>
          </w:tcPr>
          <w:p w:rsidR="00AF5023" w:rsidRPr="00550A61" w:rsidRDefault="00AF5023" w:rsidP="00B96656">
            <w:pPr>
              <w:pStyle w:val="BodyText"/>
              <w:rPr>
                <w:b/>
                <w:sz w:val="16"/>
                <w:szCs w:val="16"/>
              </w:rPr>
            </w:pPr>
          </w:p>
        </w:tc>
        <w:tc>
          <w:tcPr>
            <w:tcW w:w="1356" w:type="dxa"/>
            <w:shd w:val="clear" w:color="auto" w:fill="92D050"/>
          </w:tcPr>
          <w:p w:rsidR="00AF5023" w:rsidRPr="00550A61" w:rsidRDefault="00AF5023" w:rsidP="00B96656">
            <w:pPr>
              <w:pStyle w:val="BodyText"/>
              <w:rPr>
                <w:sz w:val="16"/>
                <w:szCs w:val="16"/>
              </w:rPr>
            </w:pPr>
          </w:p>
        </w:tc>
        <w:tc>
          <w:tcPr>
            <w:tcW w:w="1260" w:type="dxa"/>
            <w:shd w:val="clear" w:color="auto" w:fill="92D050"/>
          </w:tcPr>
          <w:p w:rsidR="00AF5023" w:rsidRPr="00550A61" w:rsidRDefault="00AF5023" w:rsidP="00B96656">
            <w:pPr>
              <w:pStyle w:val="BodyText"/>
              <w:rPr>
                <w:sz w:val="16"/>
                <w:szCs w:val="16"/>
              </w:rPr>
            </w:pPr>
          </w:p>
        </w:tc>
      </w:tr>
      <w:tr w:rsidR="00AF5023" w:rsidRPr="00550A61" w:rsidTr="00AF5023">
        <w:tc>
          <w:tcPr>
            <w:tcW w:w="6114" w:type="dxa"/>
          </w:tcPr>
          <w:p w:rsidR="00AF5023" w:rsidRPr="00550A61" w:rsidRDefault="00AF5023" w:rsidP="00B96656">
            <w:pPr>
              <w:pStyle w:val="BodyText"/>
              <w:rPr>
                <w:b/>
              </w:rPr>
            </w:pPr>
            <w:r w:rsidRPr="00550A61">
              <w:rPr>
                <w:b/>
              </w:rPr>
              <w:t>Lipid Panel:</w:t>
            </w:r>
            <w:r w:rsidRPr="00550A61">
              <w:rPr>
                <w:sz w:val="22"/>
                <w:szCs w:val="22"/>
              </w:rPr>
              <w:t xml:space="preserve"> Cholesterol, Triglycerides, HDL Cholesterol, Calculated LDL &amp; Coronary Risk Factor </w:t>
            </w:r>
          </w:p>
        </w:tc>
        <w:tc>
          <w:tcPr>
            <w:tcW w:w="1356" w:type="dxa"/>
          </w:tcPr>
          <w:p w:rsidR="00AF5023" w:rsidRPr="000A1F32" w:rsidRDefault="00AF5023" w:rsidP="00B96656">
            <w:pPr>
              <w:pStyle w:val="BodyText"/>
            </w:pPr>
            <w:r w:rsidRPr="000A1F32">
              <w:t>80061</w:t>
            </w:r>
          </w:p>
        </w:tc>
        <w:tc>
          <w:tcPr>
            <w:tcW w:w="1260" w:type="dxa"/>
          </w:tcPr>
          <w:p w:rsidR="00AF5023" w:rsidRPr="00550A61" w:rsidRDefault="00AF5023" w:rsidP="00B96656">
            <w:pPr>
              <w:pStyle w:val="BodyText"/>
              <w:rPr>
                <w:sz w:val="22"/>
                <w:szCs w:val="22"/>
              </w:rPr>
            </w:pPr>
            <w:r>
              <w:rPr>
                <w:sz w:val="22"/>
                <w:szCs w:val="22"/>
              </w:rPr>
              <w:t>14.88</w:t>
            </w:r>
          </w:p>
        </w:tc>
      </w:tr>
      <w:tr w:rsidR="00AF5023" w:rsidRPr="00550A61" w:rsidTr="00AF5023">
        <w:tc>
          <w:tcPr>
            <w:tcW w:w="6114" w:type="dxa"/>
            <w:shd w:val="clear" w:color="auto" w:fill="92D050"/>
          </w:tcPr>
          <w:p w:rsidR="00AF5023" w:rsidRPr="00550A61" w:rsidRDefault="00AF5023" w:rsidP="00B96656">
            <w:pPr>
              <w:pStyle w:val="BodyText"/>
              <w:rPr>
                <w:b/>
                <w:sz w:val="16"/>
                <w:szCs w:val="16"/>
              </w:rPr>
            </w:pPr>
          </w:p>
        </w:tc>
        <w:tc>
          <w:tcPr>
            <w:tcW w:w="1356" w:type="dxa"/>
            <w:shd w:val="clear" w:color="auto" w:fill="92D050"/>
          </w:tcPr>
          <w:p w:rsidR="00AF5023" w:rsidRPr="00550A61" w:rsidRDefault="00AF5023" w:rsidP="00B96656">
            <w:pPr>
              <w:pStyle w:val="BodyText"/>
              <w:rPr>
                <w:sz w:val="16"/>
                <w:szCs w:val="16"/>
              </w:rPr>
            </w:pPr>
          </w:p>
        </w:tc>
        <w:tc>
          <w:tcPr>
            <w:tcW w:w="1260" w:type="dxa"/>
            <w:shd w:val="clear" w:color="auto" w:fill="92D050"/>
          </w:tcPr>
          <w:p w:rsidR="00AF5023" w:rsidRPr="00550A61" w:rsidRDefault="00AF5023" w:rsidP="00B96656">
            <w:pPr>
              <w:pStyle w:val="BodyText"/>
              <w:rPr>
                <w:sz w:val="16"/>
                <w:szCs w:val="16"/>
              </w:rPr>
            </w:pPr>
          </w:p>
        </w:tc>
      </w:tr>
      <w:tr w:rsidR="00AF5023" w:rsidRPr="00550A61" w:rsidTr="00AF5023">
        <w:tc>
          <w:tcPr>
            <w:tcW w:w="6114" w:type="dxa"/>
          </w:tcPr>
          <w:p w:rsidR="00AF5023" w:rsidRPr="00090ED8" w:rsidRDefault="00AF5023" w:rsidP="00B96656">
            <w:pPr>
              <w:pStyle w:val="BodyText"/>
            </w:pPr>
            <w:r>
              <w:rPr>
                <w:b/>
              </w:rPr>
              <w:t xml:space="preserve">Obstetric Panel:  </w:t>
            </w:r>
            <w:r w:rsidRPr="00090ED8">
              <w:rPr>
                <w:sz w:val="22"/>
                <w:szCs w:val="22"/>
              </w:rPr>
              <w:t>Antibody Screen</w:t>
            </w:r>
            <w:r>
              <w:rPr>
                <w:sz w:val="22"/>
                <w:szCs w:val="22"/>
              </w:rPr>
              <w:t>, Blood Typing ABO, Rh(D), CBC w/Differential, Hepatitis B Surface Antigen, RPR, Rubella Antibody</w:t>
            </w:r>
          </w:p>
        </w:tc>
        <w:tc>
          <w:tcPr>
            <w:tcW w:w="1356" w:type="dxa"/>
          </w:tcPr>
          <w:p w:rsidR="00AF5023" w:rsidRPr="000A1F32" w:rsidRDefault="00AF5023" w:rsidP="00B96656">
            <w:pPr>
              <w:pStyle w:val="BodyText"/>
            </w:pPr>
            <w:r>
              <w:t>80055</w:t>
            </w:r>
          </w:p>
        </w:tc>
        <w:tc>
          <w:tcPr>
            <w:tcW w:w="1260" w:type="dxa"/>
          </w:tcPr>
          <w:p w:rsidR="00AF5023" w:rsidRDefault="00AF5023" w:rsidP="00B96656">
            <w:pPr>
              <w:pStyle w:val="BodyText"/>
            </w:pPr>
            <w:r>
              <w:t>53.12</w:t>
            </w:r>
          </w:p>
        </w:tc>
      </w:tr>
      <w:tr w:rsidR="00AF5023" w:rsidRPr="00550A61" w:rsidTr="00AF5023">
        <w:trPr>
          <w:trHeight w:val="206"/>
        </w:trPr>
        <w:tc>
          <w:tcPr>
            <w:tcW w:w="6114" w:type="dxa"/>
            <w:shd w:val="clear" w:color="auto" w:fill="92D050"/>
          </w:tcPr>
          <w:p w:rsidR="00AF5023" w:rsidRPr="00090ED8" w:rsidRDefault="00AF5023" w:rsidP="00B96656">
            <w:pPr>
              <w:pStyle w:val="BodyText"/>
              <w:rPr>
                <w:b/>
                <w:sz w:val="16"/>
                <w:szCs w:val="16"/>
              </w:rPr>
            </w:pPr>
          </w:p>
        </w:tc>
        <w:tc>
          <w:tcPr>
            <w:tcW w:w="1356" w:type="dxa"/>
            <w:shd w:val="clear" w:color="auto" w:fill="92D050"/>
          </w:tcPr>
          <w:p w:rsidR="00AF5023" w:rsidRPr="000A1F32" w:rsidRDefault="00AF5023" w:rsidP="00B96656">
            <w:pPr>
              <w:pStyle w:val="BodyText"/>
            </w:pPr>
          </w:p>
        </w:tc>
        <w:tc>
          <w:tcPr>
            <w:tcW w:w="1260" w:type="dxa"/>
            <w:shd w:val="clear" w:color="auto" w:fill="92D050"/>
          </w:tcPr>
          <w:p w:rsidR="00AF5023" w:rsidRDefault="00AF5023" w:rsidP="00B96656">
            <w:pPr>
              <w:pStyle w:val="BodyText"/>
            </w:pPr>
          </w:p>
        </w:tc>
      </w:tr>
      <w:tr w:rsidR="00AF5023" w:rsidRPr="00550A61" w:rsidTr="00AF5023">
        <w:tc>
          <w:tcPr>
            <w:tcW w:w="6114" w:type="dxa"/>
          </w:tcPr>
          <w:p w:rsidR="00AF5023" w:rsidRPr="00550A61" w:rsidRDefault="00AF5023" w:rsidP="00B96656">
            <w:pPr>
              <w:pStyle w:val="BodyText"/>
              <w:rPr>
                <w:b/>
              </w:rPr>
            </w:pPr>
            <w:r w:rsidRPr="00550A61">
              <w:rPr>
                <w:b/>
              </w:rPr>
              <w:t xml:space="preserve">Renal Function Panel:  </w:t>
            </w:r>
            <w:r>
              <w:t>Albumin, Calcium, CO2, Chloride, Creatinine, Glucose, Phosphorous, Potassium, Sodium, BUN</w:t>
            </w:r>
          </w:p>
        </w:tc>
        <w:tc>
          <w:tcPr>
            <w:tcW w:w="1356" w:type="dxa"/>
          </w:tcPr>
          <w:p w:rsidR="00AF5023" w:rsidRPr="000A1F32" w:rsidRDefault="00AF5023" w:rsidP="00B96656">
            <w:pPr>
              <w:pStyle w:val="BodyText"/>
            </w:pPr>
            <w:r w:rsidRPr="000A1F32">
              <w:t>80069</w:t>
            </w:r>
          </w:p>
        </w:tc>
        <w:tc>
          <w:tcPr>
            <w:tcW w:w="1260" w:type="dxa"/>
          </w:tcPr>
          <w:p w:rsidR="00AF5023" w:rsidRPr="000A1F32" w:rsidRDefault="00AF5023" w:rsidP="00B96656">
            <w:pPr>
              <w:pStyle w:val="BodyText"/>
            </w:pPr>
            <w:r>
              <w:t>9.65</w:t>
            </w:r>
          </w:p>
        </w:tc>
      </w:tr>
    </w:tbl>
    <w:p w:rsidR="00AF5023" w:rsidRPr="00CE2F45" w:rsidRDefault="00AF5023" w:rsidP="00AF5023">
      <w:pPr>
        <w:rPr>
          <w:sz w:val="16"/>
          <w:szCs w:val="16"/>
        </w:rPr>
      </w:pPr>
    </w:p>
    <w:p w:rsidR="00AF5023" w:rsidRPr="00550A61" w:rsidRDefault="00AF5023" w:rsidP="00AF5023">
      <w:pPr>
        <w:rPr>
          <w:b/>
          <w:sz w:val="28"/>
          <w:szCs w:val="28"/>
        </w:rPr>
      </w:pPr>
      <w:r w:rsidRPr="00550A61">
        <w:rPr>
          <w:b/>
          <w:sz w:val="28"/>
          <w:szCs w:val="28"/>
        </w:rPr>
        <w:t>Avoid Duplicate Ordering of Panels and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5004"/>
      </w:tblGrid>
      <w:tr w:rsidR="00AF5023" w:rsidRPr="00550A61" w:rsidTr="00B96656">
        <w:tc>
          <w:tcPr>
            <w:tcW w:w="5004" w:type="dxa"/>
          </w:tcPr>
          <w:p w:rsidR="00AF5023" w:rsidRPr="00550A61" w:rsidRDefault="00AF5023" w:rsidP="00B96656">
            <w:pPr>
              <w:spacing w:line="240" w:lineRule="auto"/>
              <w:jc w:val="center"/>
              <w:rPr>
                <w:rFonts w:ascii="Times New Roman" w:eastAsia="Times New Roman" w:hAnsi="Times New Roman"/>
                <w:b/>
                <w:sz w:val="24"/>
                <w:szCs w:val="24"/>
              </w:rPr>
            </w:pPr>
            <w:r w:rsidRPr="00550A61">
              <w:rPr>
                <w:rFonts w:ascii="Times New Roman" w:eastAsia="Times New Roman" w:hAnsi="Times New Roman"/>
                <w:b/>
                <w:sz w:val="24"/>
                <w:szCs w:val="24"/>
              </w:rPr>
              <w:t>Incorrect Order</w:t>
            </w:r>
          </w:p>
        </w:tc>
        <w:tc>
          <w:tcPr>
            <w:tcW w:w="5004" w:type="dxa"/>
          </w:tcPr>
          <w:p w:rsidR="00AF5023" w:rsidRPr="00550A61" w:rsidRDefault="00AF5023" w:rsidP="00B96656">
            <w:pPr>
              <w:spacing w:line="240" w:lineRule="auto"/>
              <w:jc w:val="center"/>
              <w:rPr>
                <w:rFonts w:ascii="Times New Roman" w:eastAsia="Times New Roman" w:hAnsi="Times New Roman"/>
                <w:b/>
                <w:sz w:val="24"/>
                <w:szCs w:val="24"/>
              </w:rPr>
            </w:pPr>
            <w:r w:rsidRPr="00550A61">
              <w:rPr>
                <w:rFonts w:ascii="Times New Roman" w:eastAsia="Times New Roman" w:hAnsi="Times New Roman"/>
                <w:b/>
                <w:sz w:val="24"/>
                <w:szCs w:val="24"/>
              </w:rPr>
              <w:t>Correct Order</w:t>
            </w:r>
          </w:p>
        </w:tc>
      </w:tr>
      <w:tr w:rsidR="00AF5023" w:rsidRPr="00550A61" w:rsidTr="00B96656">
        <w:tc>
          <w:tcPr>
            <w:tcW w:w="5004" w:type="dxa"/>
          </w:tcPr>
          <w:p w:rsidR="00AF5023" w:rsidRPr="00550A61" w:rsidRDefault="00AF5023" w:rsidP="00B96656">
            <w:pPr>
              <w:spacing w:line="240" w:lineRule="auto"/>
              <w:rPr>
                <w:rFonts w:ascii="Times New Roman" w:eastAsia="Times New Roman" w:hAnsi="Times New Roman"/>
                <w:sz w:val="24"/>
                <w:szCs w:val="24"/>
              </w:rPr>
            </w:pPr>
            <w:r w:rsidRPr="00550A61">
              <w:rPr>
                <w:rFonts w:ascii="Times New Roman" w:eastAsia="Times New Roman" w:hAnsi="Times New Roman"/>
                <w:sz w:val="24"/>
                <w:szCs w:val="24"/>
              </w:rPr>
              <w:t>CMP and Renal Function Panel</w:t>
            </w:r>
          </w:p>
        </w:tc>
        <w:tc>
          <w:tcPr>
            <w:tcW w:w="5004" w:type="dxa"/>
          </w:tcPr>
          <w:p w:rsidR="00AF5023" w:rsidRPr="00550A61" w:rsidRDefault="00AF5023" w:rsidP="00B96656">
            <w:pPr>
              <w:spacing w:line="240" w:lineRule="auto"/>
              <w:rPr>
                <w:rFonts w:ascii="Times New Roman" w:eastAsia="Times New Roman" w:hAnsi="Times New Roman"/>
                <w:sz w:val="24"/>
                <w:szCs w:val="24"/>
              </w:rPr>
            </w:pPr>
            <w:r w:rsidRPr="00550A61">
              <w:rPr>
                <w:rFonts w:ascii="Times New Roman" w:eastAsia="Times New Roman" w:hAnsi="Times New Roman"/>
                <w:sz w:val="24"/>
                <w:szCs w:val="24"/>
              </w:rPr>
              <w:t>CMP and Phosphorous</w:t>
            </w:r>
          </w:p>
        </w:tc>
      </w:tr>
      <w:tr w:rsidR="00AF5023" w:rsidRPr="00550A61" w:rsidTr="00B96656">
        <w:tc>
          <w:tcPr>
            <w:tcW w:w="5004" w:type="dxa"/>
          </w:tcPr>
          <w:p w:rsidR="00AF5023" w:rsidRPr="00550A61" w:rsidRDefault="00AF5023" w:rsidP="00B96656">
            <w:pPr>
              <w:spacing w:line="240" w:lineRule="auto"/>
              <w:rPr>
                <w:rFonts w:ascii="Times New Roman" w:eastAsia="Times New Roman" w:hAnsi="Times New Roman"/>
                <w:sz w:val="24"/>
                <w:szCs w:val="24"/>
              </w:rPr>
            </w:pPr>
            <w:r w:rsidRPr="00550A61">
              <w:rPr>
                <w:rFonts w:ascii="Times New Roman" w:eastAsia="Times New Roman" w:hAnsi="Times New Roman"/>
                <w:sz w:val="24"/>
                <w:szCs w:val="24"/>
              </w:rPr>
              <w:t>CMP and Hepatic Function Panel</w:t>
            </w:r>
          </w:p>
        </w:tc>
        <w:tc>
          <w:tcPr>
            <w:tcW w:w="5004" w:type="dxa"/>
          </w:tcPr>
          <w:p w:rsidR="00AF5023" w:rsidRPr="00550A61" w:rsidRDefault="00AF5023" w:rsidP="00B96656">
            <w:pPr>
              <w:spacing w:line="240" w:lineRule="auto"/>
              <w:rPr>
                <w:rFonts w:ascii="Times New Roman" w:eastAsia="Times New Roman" w:hAnsi="Times New Roman"/>
                <w:sz w:val="24"/>
                <w:szCs w:val="24"/>
              </w:rPr>
            </w:pPr>
            <w:r w:rsidRPr="00550A61">
              <w:rPr>
                <w:rFonts w:ascii="Times New Roman" w:eastAsia="Times New Roman" w:hAnsi="Times New Roman"/>
                <w:sz w:val="24"/>
                <w:szCs w:val="24"/>
              </w:rPr>
              <w:t>CMP and Bilirubin, Direct</w:t>
            </w:r>
          </w:p>
        </w:tc>
      </w:tr>
      <w:tr w:rsidR="00AF5023" w:rsidRPr="00550A61" w:rsidTr="00B96656">
        <w:tc>
          <w:tcPr>
            <w:tcW w:w="5004" w:type="dxa"/>
          </w:tcPr>
          <w:p w:rsidR="00AF5023" w:rsidRPr="00550A61" w:rsidRDefault="00AF5023" w:rsidP="00B96656">
            <w:pPr>
              <w:spacing w:line="240" w:lineRule="auto"/>
              <w:rPr>
                <w:rFonts w:ascii="Times New Roman" w:eastAsia="Times New Roman" w:hAnsi="Times New Roman"/>
                <w:sz w:val="24"/>
                <w:szCs w:val="24"/>
              </w:rPr>
            </w:pPr>
            <w:r w:rsidRPr="00550A61">
              <w:rPr>
                <w:rFonts w:ascii="Times New Roman" w:eastAsia="Times New Roman" w:hAnsi="Times New Roman"/>
                <w:sz w:val="24"/>
                <w:szCs w:val="24"/>
              </w:rPr>
              <w:t>BMP and Renal Function Panel</w:t>
            </w:r>
          </w:p>
        </w:tc>
        <w:tc>
          <w:tcPr>
            <w:tcW w:w="5004" w:type="dxa"/>
          </w:tcPr>
          <w:p w:rsidR="00AF5023" w:rsidRPr="00550A61" w:rsidRDefault="00AF5023" w:rsidP="00B96656">
            <w:pPr>
              <w:spacing w:line="240" w:lineRule="auto"/>
              <w:rPr>
                <w:rFonts w:ascii="Times New Roman" w:eastAsia="Times New Roman" w:hAnsi="Times New Roman"/>
                <w:sz w:val="24"/>
                <w:szCs w:val="24"/>
              </w:rPr>
            </w:pPr>
            <w:r w:rsidRPr="00550A61">
              <w:rPr>
                <w:rFonts w:ascii="Times New Roman" w:eastAsia="Times New Roman" w:hAnsi="Times New Roman"/>
                <w:sz w:val="24"/>
                <w:szCs w:val="24"/>
              </w:rPr>
              <w:t>Renal Function Panel</w:t>
            </w:r>
          </w:p>
        </w:tc>
      </w:tr>
    </w:tbl>
    <w:p w:rsidR="00AF5023" w:rsidRPr="00AF5023" w:rsidRDefault="00AF5023" w:rsidP="00AF5023"/>
    <w:sectPr w:rsidR="00AF5023" w:rsidRPr="00AF5023" w:rsidSect="00254706">
      <w:footerReference w:type="default" r:id="rId13"/>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36" w:rsidRDefault="008C0D36" w:rsidP="000315B8">
      <w:pPr>
        <w:spacing w:line="240" w:lineRule="auto"/>
      </w:pPr>
      <w:r>
        <w:separator/>
      </w:r>
    </w:p>
  </w:endnote>
  <w:endnote w:type="continuationSeparator" w:id="0">
    <w:p w:rsidR="008C0D36" w:rsidRDefault="008C0D36" w:rsidP="00031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54969"/>
      <w:docPartObj>
        <w:docPartGallery w:val="Page Numbers (Bottom of Page)"/>
        <w:docPartUnique/>
      </w:docPartObj>
    </w:sdtPr>
    <w:sdtEndPr/>
    <w:sdtContent>
      <w:p w:rsidR="008C0D36" w:rsidRDefault="00CD6D35">
        <w:pPr>
          <w:pStyle w:val="Footer"/>
          <w:jc w:val="center"/>
        </w:pPr>
        <w:r>
          <w:fldChar w:fldCharType="begin"/>
        </w:r>
        <w:r>
          <w:instrText xml:space="preserve"> PAGE   \* MERGEFORMAT </w:instrText>
        </w:r>
        <w:r>
          <w:fldChar w:fldCharType="separate"/>
        </w:r>
        <w:r w:rsidR="00A403D0">
          <w:rPr>
            <w:noProof/>
          </w:rPr>
          <w:t>2</w:t>
        </w:r>
        <w:r>
          <w:rPr>
            <w:noProof/>
          </w:rPr>
          <w:fldChar w:fldCharType="end"/>
        </w:r>
      </w:p>
    </w:sdtContent>
  </w:sdt>
  <w:p w:rsidR="008C0D36" w:rsidRDefault="008C0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36" w:rsidRDefault="008C0D36" w:rsidP="000315B8">
      <w:pPr>
        <w:spacing w:line="240" w:lineRule="auto"/>
      </w:pPr>
      <w:r>
        <w:separator/>
      </w:r>
    </w:p>
  </w:footnote>
  <w:footnote w:type="continuationSeparator" w:id="0">
    <w:p w:rsidR="008C0D36" w:rsidRDefault="008C0D36" w:rsidP="000315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7234"/>
    <w:multiLevelType w:val="hybridMultilevel"/>
    <w:tmpl w:val="DD80F4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60176"/>
    <w:multiLevelType w:val="hybridMultilevel"/>
    <w:tmpl w:val="3EE2E708"/>
    <w:lvl w:ilvl="0" w:tplc="A196620E">
      <w:start w:val="7"/>
      <w:numFmt w:val="lowerLetter"/>
      <w:lvlText w:val="%1)"/>
      <w:lvlJc w:val="left"/>
      <w:pPr>
        <w:ind w:left="126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D93AC8"/>
    <w:multiLevelType w:val="hybridMultilevel"/>
    <w:tmpl w:val="56B84B52"/>
    <w:lvl w:ilvl="0" w:tplc="5816D7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5BD41CEA"/>
    <w:multiLevelType w:val="hybridMultilevel"/>
    <w:tmpl w:val="0DAE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31252E"/>
    <w:multiLevelType w:val="hybridMultilevel"/>
    <w:tmpl w:val="5D00263C"/>
    <w:lvl w:ilvl="0" w:tplc="8074571C">
      <w:start w:val="1"/>
      <w:numFmt w:val="lowerRoman"/>
      <w:lvlText w:val="%1)"/>
      <w:lvlJc w:val="left"/>
      <w:pPr>
        <w:ind w:left="1080" w:hanging="72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D6FD2"/>
    <w:multiLevelType w:val="hybridMultilevel"/>
    <w:tmpl w:val="257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B51F8C"/>
    <w:multiLevelType w:val="hybridMultilevel"/>
    <w:tmpl w:val="D4C4F406"/>
    <w:lvl w:ilvl="0" w:tplc="B0FAEF4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C5"/>
    <w:rsid w:val="00031301"/>
    <w:rsid w:val="000315B8"/>
    <w:rsid w:val="00045D23"/>
    <w:rsid w:val="0006426E"/>
    <w:rsid w:val="001410A8"/>
    <w:rsid w:val="00144E60"/>
    <w:rsid w:val="00175925"/>
    <w:rsid w:val="001B330C"/>
    <w:rsid w:val="001B7BAE"/>
    <w:rsid w:val="001C3907"/>
    <w:rsid w:val="001D1153"/>
    <w:rsid w:val="001F2550"/>
    <w:rsid w:val="00226DFD"/>
    <w:rsid w:val="00253A2D"/>
    <w:rsid w:val="00254706"/>
    <w:rsid w:val="00270215"/>
    <w:rsid w:val="00295F35"/>
    <w:rsid w:val="002D1EA1"/>
    <w:rsid w:val="002F5BAB"/>
    <w:rsid w:val="0030285E"/>
    <w:rsid w:val="00312E35"/>
    <w:rsid w:val="00341D3E"/>
    <w:rsid w:val="00354A39"/>
    <w:rsid w:val="00354E11"/>
    <w:rsid w:val="0037100D"/>
    <w:rsid w:val="003D3748"/>
    <w:rsid w:val="003D6E82"/>
    <w:rsid w:val="00405E0A"/>
    <w:rsid w:val="00417D76"/>
    <w:rsid w:val="00491846"/>
    <w:rsid w:val="00492985"/>
    <w:rsid w:val="004946B1"/>
    <w:rsid w:val="004B27BD"/>
    <w:rsid w:val="004B404E"/>
    <w:rsid w:val="005326A1"/>
    <w:rsid w:val="0053388C"/>
    <w:rsid w:val="0054620D"/>
    <w:rsid w:val="00546D9F"/>
    <w:rsid w:val="00567739"/>
    <w:rsid w:val="00582DD8"/>
    <w:rsid w:val="005942BB"/>
    <w:rsid w:val="00596885"/>
    <w:rsid w:val="005A1E36"/>
    <w:rsid w:val="00606570"/>
    <w:rsid w:val="00606CCD"/>
    <w:rsid w:val="00620CF0"/>
    <w:rsid w:val="0066716E"/>
    <w:rsid w:val="0068123F"/>
    <w:rsid w:val="006932E8"/>
    <w:rsid w:val="006B3D8B"/>
    <w:rsid w:val="006D43C9"/>
    <w:rsid w:val="006D6823"/>
    <w:rsid w:val="00701917"/>
    <w:rsid w:val="00730AD0"/>
    <w:rsid w:val="00736FEC"/>
    <w:rsid w:val="00747106"/>
    <w:rsid w:val="007743EC"/>
    <w:rsid w:val="007A083D"/>
    <w:rsid w:val="007A7158"/>
    <w:rsid w:val="007B1522"/>
    <w:rsid w:val="007B63AD"/>
    <w:rsid w:val="007C04B5"/>
    <w:rsid w:val="007C67C6"/>
    <w:rsid w:val="007D1979"/>
    <w:rsid w:val="00827F05"/>
    <w:rsid w:val="0083006D"/>
    <w:rsid w:val="00851D5D"/>
    <w:rsid w:val="008832CE"/>
    <w:rsid w:val="00897F10"/>
    <w:rsid w:val="008C0D36"/>
    <w:rsid w:val="008D5BD6"/>
    <w:rsid w:val="008D5D60"/>
    <w:rsid w:val="008D65C5"/>
    <w:rsid w:val="008E79E0"/>
    <w:rsid w:val="0092488D"/>
    <w:rsid w:val="00925DCF"/>
    <w:rsid w:val="00931860"/>
    <w:rsid w:val="00941310"/>
    <w:rsid w:val="009630CB"/>
    <w:rsid w:val="009921B3"/>
    <w:rsid w:val="00997411"/>
    <w:rsid w:val="009C39B6"/>
    <w:rsid w:val="009D127F"/>
    <w:rsid w:val="009D6D40"/>
    <w:rsid w:val="009F04B9"/>
    <w:rsid w:val="00A10316"/>
    <w:rsid w:val="00A274D9"/>
    <w:rsid w:val="00A403D0"/>
    <w:rsid w:val="00A51C58"/>
    <w:rsid w:val="00A76234"/>
    <w:rsid w:val="00A80165"/>
    <w:rsid w:val="00A825BC"/>
    <w:rsid w:val="00AB1FA1"/>
    <w:rsid w:val="00AF5023"/>
    <w:rsid w:val="00B3155C"/>
    <w:rsid w:val="00B62D3E"/>
    <w:rsid w:val="00B87105"/>
    <w:rsid w:val="00BD02DA"/>
    <w:rsid w:val="00C02521"/>
    <w:rsid w:val="00C64B64"/>
    <w:rsid w:val="00C75F87"/>
    <w:rsid w:val="00C8120A"/>
    <w:rsid w:val="00CC48F3"/>
    <w:rsid w:val="00CD6D35"/>
    <w:rsid w:val="00CF0B2D"/>
    <w:rsid w:val="00D36495"/>
    <w:rsid w:val="00D73A1E"/>
    <w:rsid w:val="00DC2786"/>
    <w:rsid w:val="00DF498E"/>
    <w:rsid w:val="00E00DA5"/>
    <w:rsid w:val="00E21078"/>
    <w:rsid w:val="00E40EE9"/>
    <w:rsid w:val="00E42938"/>
    <w:rsid w:val="00F03E07"/>
    <w:rsid w:val="00F11DDA"/>
    <w:rsid w:val="00F24B60"/>
    <w:rsid w:val="00F577EF"/>
    <w:rsid w:val="00F609DF"/>
    <w:rsid w:val="00FC6C8F"/>
    <w:rsid w:val="00FE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23F"/>
    <w:rPr>
      <w:color w:val="0000FF" w:themeColor="hyperlink"/>
      <w:u w:val="single"/>
    </w:rPr>
  </w:style>
  <w:style w:type="paragraph" w:styleId="ListParagraph">
    <w:name w:val="List Paragraph"/>
    <w:basedOn w:val="Normal"/>
    <w:uiPriority w:val="34"/>
    <w:qFormat/>
    <w:rsid w:val="00FE6A6C"/>
    <w:pPr>
      <w:ind w:left="720"/>
      <w:contextualSpacing/>
    </w:pPr>
  </w:style>
  <w:style w:type="paragraph" w:styleId="Header">
    <w:name w:val="header"/>
    <w:basedOn w:val="Normal"/>
    <w:link w:val="HeaderChar"/>
    <w:uiPriority w:val="99"/>
    <w:semiHidden/>
    <w:unhideWhenUsed/>
    <w:rsid w:val="000315B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315B8"/>
  </w:style>
  <w:style w:type="paragraph" w:styleId="Footer">
    <w:name w:val="footer"/>
    <w:basedOn w:val="Normal"/>
    <w:link w:val="FooterChar"/>
    <w:uiPriority w:val="99"/>
    <w:unhideWhenUsed/>
    <w:rsid w:val="000315B8"/>
    <w:pPr>
      <w:tabs>
        <w:tab w:val="center" w:pos="4680"/>
        <w:tab w:val="right" w:pos="9360"/>
      </w:tabs>
      <w:spacing w:line="240" w:lineRule="auto"/>
    </w:pPr>
  </w:style>
  <w:style w:type="character" w:customStyle="1" w:styleId="FooterChar">
    <w:name w:val="Footer Char"/>
    <w:basedOn w:val="DefaultParagraphFont"/>
    <w:link w:val="Footer"/>
    <w:uiPriority w:val="99"/>
    <w:rsid w:val="000315B8"/>
  </w:style>
  <w:style w:type="character" w:styleId="FollowedHyperlink">
    <w:name w:val="FollowedHyperlink"/>
    <w:basedOn w:val="DefaultParagraphFont"/>
    <w:uiPriority w:val="99"/>
    <w:semiHidden/>
    <w:unhideWhenUsed/>
    <w:rsid w:val="00A80165"/>
    <w:rPr>
      <w:color w:val="800080" w:themeColor="followedHyperlink"/>
      <w:u w:val="single"/>
    </w:rPr>
  </w:style>
  <w:style w:type="paragraph" w:styleId="BalloonText">
    <w:name w:val="Balloon Text"/>
    <w:basedOn w:val="Normal"/>
    <w:link w:val="BalloonTextChar"/>
    <w:uiPriority w:val="99"/>
    <w:semiHidden/>
    <w:unhideWhenUsed/>
    <w:rsid w:val="007D19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979"/>
    <w:rPr>
      <w:rFonts w:ascii="Tahoma" w:hAnsi="Tahoma" w:cs="Tahoma"/>
      <w:sz w:val="16"/>
      <w:szCs w:val="16"/>
    </w:rPr>
  </w:style>
  <w:style w:type="paragraph" w:styleId="NormalWeb">
    <w:name w:val="Normal (Web)"/>
    <w:basedOn w:val="Normal"/>
    <w:uiPriority w:val="99"/>
    <w:semiHidden/>
    <w:unhideWhenUsed/>
    <w:rsid w:val="00582DD8"/>
    <w:pPr>
      <w:spacing w:before="100" w:beforeAutospacing="1" w:after="240" w:line="27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582DD8"/>
    <w:rPr>
      <w:b/>
      <w:bCs/>
    </w:rPr>
  </w:style>
  <w:style w:type="paragraph" w:styleId="NoSpacing">
    <w:name w:val="No Spacing"/>
    <w:uiPriority w:val="1"/>
    <w:qFormat/>
    <w:rsid w:val="0053388C"/>
    <w:pPr>
      <w:spacing w:line="240" w:lineRule="auto"/>
    </w:pPr>
  </w:style>
  <w:style w:type="paragraph" w:styleId="BodyText">
    <w:name w:val="Body Text"/>
    <w:basedOn w:val="Normal"/>
    <w:link w:val="BodyTextChar"/>
    <w:rsid w:val="00AF5023"/>
    <w:pPr>
      <w:spacing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F502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23F"/>
    <w:rPr>
      <w:color w:val="0000FF" w:themeColor="hyperlink"/>
      <w:u w:val="single"/>
    </w:rPr>
  </w:style>
  <w:style w:type="paragraph" w:styleId="ListParagraph">
    <w:name w:val="List Paragraph"/>
    <w:basedOn w:val="Normal"/>
    <w:uiPriority w:val="34"/>
    <w:qFormat/>
    <w:rsid w:val="00FE6A6C"/>
    <w:pPr>
      <w:ind w:left="720"/>
      <w:contextualSpacing/>
    </w:pPr>
  </w:style>
  <w:style w:type="paragraph" w:styleId="Header">
    <w:name w:val="header"/>
    <w:basedOn w:val="Normal"/>
    <w:link w:val="HeaderChar"/>
    <w:uiPriority w:val="99"/>
    <w:semiHidden/>
    <w:unhideWhenUsed/>
    <w:rsid w:val="000315B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315B8"/>
  </w:style>
  <w:style w:type="paragraph" w:styleId="Footer">
    <w:name w:val="footer"/>
    <w:basedOn w:val="Normal"/>
    <w:link w:val="FooterChar"/>
    <w:uiPriority w:val="99"/>
    <w:unhideWhenUsed/>
    <w:rsid w:val="000315B8"/>
    <w:pPr>
      <w:tabs>
        <w:tab w:val="center" w:pos="4680"/>
        <w:tab w:val="right" w:pos="9360"/>
      </w:tabs>
      <w:spacing w:line="240" w:lineRule="auto"/>
    </w:pPr>
  </w:style>
  <w:style w:type="character" w:customStyle="1" w:styleId="FooterChar">
    <w:name w:val="Footer Char"/>
    <w:basedOn w:val="DefaultParagraphFont"/>
    <w:link w:val="Footer"/>
    <w:uiPriority w:val="99"/>
    <w:rsid w:val="000315B8"/>
  </w:style>
  <w:style w:type="character" w:styleId="FollowedHyperlink">
    <w:name w:val="FollowedHyperlink"/>
    <w:basedOn w:val="DefaultParagraphFont"/>
    <w:uiPriority w:val="99"/>
    <w:semiHidden/>
    <w:unhideWhenUsed/>
    <w:rsid w:val="00A80165"/>
    <w:rPr>
      <w:color w:val="800080" w:themeColor="followedHyperlink"/>
      <w:u w:val="single"/>
    </w:rPr>
  </w:style>
  <w:style w:type="paragraph" w:styleId="BalloonText">
    <w:name w:val="Balloon Text"/>
    <w:basedOn w:val="Normal"/>
    <w:link w:val="BalloonTextChar"/>
    <w:uiPriority w:val="99"/>
    <w:semiHidden/>
    <w:unhideWhenUsed/>
    <w:rsid w:val="007D19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979"/>
    <w:rPr>
      <w:rFonts w:ascii="Tahoma" w:hAnsi="Tahoma" w:cs="Tahoma"/>
      <w:sz w:val="16"/>
      <w:szCs w:val="16"/>
    </w:rPr>
  </w:style>
  <w:style w:type="paragraph" w:styleId="NormalWeb">
    <w:name w:val="Normal (Web)"/>
    <w:basedOn w:val="Normal"/>
    <w:uiPriority w:val="99"/>
    <w:semiHidden/>
    <w:unhideWhenUsed/>
    <w:rsid w:val="00582DD8"/>
    <w:pPr>
      <w:spacing w:before="100" w:beforeAutospacing="1" w:after="240" w:line="27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582DD8"/>
    <w:rPr>
      <w:b/>
      <w:bCs/>
    </w:rPr>
  </w:style>
  <w:style w:type="paragraph" w:styleId="NoSpacing">
    <w:name w:val="No Spacing"/>
    <w:uiPriority w:val="1"/>
    <w:qFormat/>
    <w:rsid w:val="0053388C"/>
    <w:pPr>
      <w:spacing w:line="240" w:lineRule="auto"/>
    </w:pPr>
  </w:style>
  <w:style w:type="paragraph" w:styleId="BodyText">
    <w:name w:val="Body Text"/>
    <w:basedOn w:val="Normal"/>
    <w:link w:val="BodyTextChar"/>
    <w:rsid w:val="00AF5023"/>
    <w:pPr>
      <w:spacing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F502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58929">
      <w:bodyDiv w:val="1"/>
      <w:marLeft w:val="0"/>
      <w:marRight w:val="0"/>
      <w:marTop w:val="0"/>
      <w:marBottom w:val="0"/>
      <w:divBdr>
        <w:top w:val="none" w:sz="0" w:space="0" w:color="auto"/>
        <w:left w:val="none" w:sz="0" w:space="0" w:color="auto"/>
        <w:bottom w:val="none" w:sz="0" w:space="0" w:color="auto"/>
        <w:right w:val="none" w:sz="0" w:space="0" w:color="auto"/>
      </w:divBdr>
      <w:divsChild>
        <w:div w:id="1944147338">
          <w:marLeft w:val="0"/>
          <w:marRight w:val="0"/>
          <w:marTop w:val="0"/>
          <w:marBottom w:val="0"/>
          <w:divBdr>
            <w:top w:val="none" w:sz="0" w:space="0" w:color="auto"/>
            <w:left w:val="none" w:sz="0" w:space="0" w:color="auto"/>
            <w:bottom w:val="none" w:sz="0" w:space="0" w:color="auto"/>
            <w:right w:val="none" w:sz="0" w:space="0" w:color="auto"/>
          </w:divBdr>
          <w:divsChild>
            <w:div w:id="57360628">
              <w:marLeft w:val="0"/>
              <w:marRight w:val="0"/>
              <w:marTop w:val="0"/>
              <w:marBottom w:val="0"/>
              <w:divBdr>
                <w:top w:val="none" w:sz="0" w:space="0" w:color="auto"/>
                <w:left w:val="none" w:sz="0" w:space="0" w:color="auto"/>
                <w:bottom w:val="none" w:sz="0" w:space="0" w:color="auto"/>
                <w:right w:val="none" w:sz="0" w:space="0" w:color="auto"/>
              </w:divBdr>
              <w:divsChild>
                <w:div w:id="1186365335">
                  <w:marLeft w:val="0"/>
                  <w:marRight w:val="0"/>
                  <w:marTop w:val="0"/>
                  <w:marBottom w:val="0"/>
                  <w:divBdr>
                    <w:top w:val="none" w:sz="0" w:space="0" w:color="auto"/>
                    <w:left w:val="none" w:sz="0" w:space="0" w:color="auto"/>
                    <w:bottom w:val="none" w:sz="0" w:space="0" w:color="auto"/>
                    <w:right w:val="none" w:sz="0" w:space="0" w:color="auto"/>
                  </w:divBdr>
                  <w:divsChild>
                    <w:div w:id="752433531">
                      <w:marLeft w:val="0"/>
                      <w:marRight w:val="0"/>
                      <w:marTop w:val="0"/>
                      <w:marBottom w:val="0"/>
                      <w:divBdr>
                        <w:top w:val="none" w:sz="0" w:space="0" w:color="auto"/>
                        <w:left w:val="none" w:sz="0" w:space="0" w:color="auto"/>
                        <w:bottom w:val="none" w:sz="0" w:space="0" w:color="auto"/>
                        <w:right w:val="none" w:sz="0" w:space="0" w:color="auto"/>
                      </w:divBdr>
                      <w:divsChild>
                        <w:div w:id="393358307">
                          <w:marLeft w:val="0"/>
                          <w:marRight w:val="0"/>
                          <w:marTop w:val="0"/>
                          <w:marBottom w:val="0"/>
                          <w:divBdr>
                            <w:top w:val="none" w:sz="0" w:space="0" w:color="auto"/>
                            <w:left w:val="none" w:sz="0" w:space="0" w:color="auto"/>
                            <w:bottom w:val="none" w:sz="0" w:space="0" w:color="auto"/>
                            <w:right w:val="none" w:sz="0" w:space="0" w:color="auto"/>
                          </w:divBdr>
                          <w:divsChild>
                            <w:div w:id="990139582">
                              <w:marLeft w:val="0"/>
                              <w:marRight w:val="0"/>
                              <w:marTop w:val="0"/>
                              <w:marBottom w:val="0"/>
                              <w:divBdr>
                                <w:top w:val="none" w:sz="0" w:space="0" w:color="auto"/>
                                <w:left w:val="none" w:sz="0" w:space="0" w:color="auto"/>
                                <w:bottom w:val="none" w:sz="0" w:space="0" w:color="auto"/>
                                <w:right w:val="none" w:sz="0" w:space="0" w:color="auto"/>
                              </w:divBdr>
                              <w:divsChild>
                                <w:div w:id="7535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vid.mills@caromont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ms.gov/medicare-coverage-database/indexes/lcd-list.aspx?Cntrctr=374&amp;ContrVer=1&amp;CntrctrSelected=374*1&amp;LCntrctr=374*1%7c375*1%7c376*1%7c377*1&amp;DocType=2&amp;bc=AgACAAAAAAAA&a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ms.gov/medicare-coverage-database/indexes/ncd-alphabetical-index.aspx" TargetMode="External"/><Relationship Id="rId4" Type="http://schemas.openxmlformats.org/officeDocument/2006/relationships/settings" Target="settings.xml"/><Relationship Id="rId9" Type="http://schemas.openxmlformats.org/officeDocument/2006/relationships/hyperlink" Target="https://www.cms.gov/Medicare/Prevention/PrevntionGenInfo/medicare-preventive-services/MPS-QuickReferenceChart-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TotalTime>
  <Pages>4</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CaroMont Health</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karen taylor</cp:lastModifiedBy>
  <cp:revision>36</cp:revision>
  <cp:lastPrinted>2014-06-20T12:55:00Z</cp:lastPrinted>
  <dcterms:created xsi:type="dcterms:W3CDTF">2019-04-20T20:10:00Z</dcterms:created>
  <dcterms:modified xsi:type="dcterms:W3CDTF">2019-05-21T20:24:00Z</dcterms:modified>
</cp:coreProperties>
</file>